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CE9D" w14:textId="2BDB2181" w:rsidR="001C34E2" w:rsidRPr="00A11D31" w:rsidRDefault="0033129C" w:rsidP="00A11D31">
      <w:pPr>
        <w:pStyle w:val="ConsPlusTitle"/>
        <w:jc w:val="center"/>
        <w:rPr>
          <w:rFonts w:ascii="Times New Roman" w:hAnsi="Times New Roman" w:cs="Times New Roman"/>
          <w:sz w:val="28"/>
          <w:szCs w:val="28"/>
        </w:rPr>
      </w:pPr>
      <w:bookmarkStart w:id="0" w:name="_GoBack"/>
      <w:bookmarkEnd w:id="0"/>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9"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10"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1"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2"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3"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4"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5"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7"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lastRenderedPageBreak/>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1"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8"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1"/>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9"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20"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1"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2"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lastRenderedPageBreak/>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ф</w:t>
      </w:r>
      <w:r w:rsidR="002E4C89" w:rsidRPr="003F6EC5">
        <w:rPr>
          <w:rFonts w:ascii="Times New Roman" w:hAnsi="Times New Roman" w:cs="Times New Roman"/>
          <w:sz w:val="28"/>
          <w:szCs w:val="28"/>
        </w:rPr>
        <w:t xml:space="preserve">актический </w:t>
      </w:r>
      <w:r w:rsidRPr="003F6EC5">
        <w:rPr>
          <w:rFonts w:ascii="Times New Roman" w:hAnsi="Times New Roman" w:cs="Times New Roman"/>
          <w:sz w:val="28"/>
          <w:szCs w:val="28"/>
        </w:rPr>
        <w:t xml:space="preserve">подушевой норматив финансирования (далее – ФПдНФ)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ПдНФ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ПдНФ</w:t>
      </w:r>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w:t>
      </w:r>
      <w:r w:rsidR="007B6DDE" w:rsidRPr="003F6EC5">
        <w:rPr>
          <w:rFonts w:ascii="Times New Roman" w:hAnsi="Times New Roman" w:cs="Times New Roman"/>
          <w:sz w:val="28"/>
          <w:szCs w:val="28"/>
        </w:rPr>
        <w:lastRenderedPageBreak/>
        <w:t>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нского консультативного 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 xml:space="preserve">для </w:t>
      </w:r>
      <w:r w:rsidRPr="00A11D31">
        <w:rPr>
          <w:rFonts w:ascii="Times New Roman" w:hAnsi="Times New Roman" w:cs="Times New Roman"/>
          <w:sz w:val="28"/>
          <w:szCs w:val="28"/>
        </w:rPr>
        <w:lastRenderedPageBreak/>
        <w:t>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w:t>
      </w:r>
      <w:r w:rsidRPr="00A11D31">
        <w:rPr>
          <w:rFonts w:ascii="Times New Roman" w:hAnsi="Times New Roman" w:cs="Times New Roman"/>
          <w:sz w:val="28"/>
          <w:szCs w:val="28"/>
        </w:rPr>
        <w:lastRenderedPageBreak/>
        <w:t>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lastRenderedPageBreak/>
        <w:t xml:space="preserve">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относительной затратоемкости (далее – КфОЗ)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w:t>
      </w:r>
      <w:r w:rsidRPr="00A11D31">
        <w:rPr>
          <w:rFonts w:ascii="Times New Roman" w:eastAsiaTheme="minorHAnsi" w:hAnsi="Times New Roman" w:cs="Times New Roman"/>
          <w:sz w:val="28"/>
          <w:szCs w:val="28"/>
          <w:lang w:eastAsia="en-US"/>
        </w:rPr>
        <w:lastRenderedPageBreak/>
        <w:t>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7A8648BD"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012C3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3"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w:t>
      </w:r>
      <w:r w:rsidRPr="00A11D31">
        <w:rPr>
          <w:rFonts w:ascii="Times New Roman" w:hAnsi="Times New Roman" w:cs="Times New Roman"/>
          <w:sz w:val="28"/>
          <w:szCs w:val="28"/>
        </w:rPr>
        <w:lastRenderedPageBreak/>
        <w:t>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w:t>
      </w:r>
      <w:r w:rsidR="000408F1">
        <w:rPr>
          <w:rFonts w:ascii="Times New Roman" w:hAnsi="Times New Roman" w:cs="Times New Roman"/>
          <w:sz w:val="28"/>
          <w:szCs w:val="28"/>
        </w:rPr>
        <w:lastRenderedPageBreak/>
        <w:t>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 xml:space="preserve">жения) в установленном порядке </w:t>
      </w:r>
      <w:r w:rsidRPr="00A11D31">
        <w:rPr>
          <w:rFonts w:ascii="Times New Roman" w:hAnsi="Times New Roman" w:cs="Times New Roman"/>
          <w:sz w:val="28"/>
          <w:szCs w:val="28"/>
        </w:rPr>
        <w:lastRenderedPageBreak/>
        <w:t>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280A9805"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012C3F">
        <w:rPr>
          <w:rFonts w:ascii="Times New Roman" w:hAnsi="Times New Roman" w:cs="Times New Roman"/>
          <w:sz w:val="28"/>
          <w:szCs w:val="28"/>
        </w:rPr>
        <w:t xml:space="preserve">в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патологоанатомических исследований биопсийного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биопсийного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патологоанатомических исследований биопсийного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 xml:space="preserve">молекулярно-генетических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ФПдНФ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ванный уроандрологический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ьница имени Г.К. Филиппского»</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Ессентукская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ФГБОУ ВО СтГМУ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«Медфармсервис»</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Бубновского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1. По тарифу ФПдНФ</w:t>
      </w:r>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ФПдНФ включены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При оплате медицинской помощи по тарифу ФПдНФ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По тарифу ФПдНФ</w:t>
      </w:r>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2" w:name="P3310"/>
      <w:bookmarkEnd w:id="2"/>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ФПдНФ</w:t>
      </w:r>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 xml:space="preserve">а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3" w:name="P3343"/>
      <w:bookmarkEnd w:id="3"/>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5. При проведении пациенту прижизненного патолого-анатомическо</w:t>
      </w:r>
      <w:r w:rsidR="00A50EAD">
        <w:rPr>
          <w:rFonts w:ascii="Times New Roman" w:hAnsi="Times New Roman" w:cs="Times New Roman"/>
          <w:sz w:val="28"/>
          <w:szCs w:val="28"/>
        </w:rPr>
        <w:t>го</w:t>
      </w:r>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вырезке, проводке и микротомии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с последующим родоразрешением;</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0A064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Наименование 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Наименование КСГ, сформированной согласно диагнозу</w:t>
            </w:r>
          </w:p>
        </w:tc>
      </w:tr>
      <w:tr w:rsidR="007571BF" w:rsidRPr="007571BF" w14:paraId="2000D25B" w14:textId="77777777" w:rsidTr="000A0648">
        <w:trPr>
          <w:trHeight w:val="110"/>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Mar>
              <w:top w:w="28" w:type="dxa"/>
              <w:bottom w:w="28" w:type="dxa"/>
            </w:tcMar>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Mar>
              <w:top w:w="28" w:type="dxa"/>
              <w:bottom w:w="28" w:type="dxa"/>
            </w:tcMar>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Mar>
              <w:top w:w="28" w:type="dxa"/>
              <w:bottom w:w="28" w:type="dxa"/>
            </w:tcMar>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Mar>
              <w:top w:w="28" w:type="dxa"/>
              <w:bottom w:w="28" w:type="dxa"/>
            </w:tcMar>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0A064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4C01EBE0" w14:textId="77777777" w:rsidTr="000A064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39C404FF" w14:textId="77777777" w:rsidTr="000A064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0A064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0A064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0A064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0A064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0A064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4" w:name="P4050"/>
      <w:bookmarkEnd w:id="4"/>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r w:rsidRPr="00394654">
        <w:rPr>
          <w:rFonts w:ascii="Times New Roman" w:hAnsi="Times New Roman" w:cs="Times New Roman"/>
          <w:sz w:val="28"/>
          <w:szCs w:val="28"/>
        </w:rPr>
        <w:t>КфСЛ</w:t>
      </w:r>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367794B5"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w:t>
      </w:r>
      <w:r w:rsidR="00012C3F">
        <w:rPr>
          <w:rFonts w:ascii="Times New Roman" w:hAnsi="Times New Roman" w:cs="Times New Roman"/>
          <w:sz w:val="28"/>
          <w:szCs w:val="28"/>
        </w:rPr>
        <w:t xml:space="preserve">осится </w:t>
      </w:r>
      <w:r w:rsidRPr="00DD0C6F">
        <w:rPr>
          <w:rFonts w:ascii="Times New Roman" w:hAnsi="Times New Roman" w:cs="Times New Roman"/>
          <w:sz w:val="28"/>
          <w:szCs w:val="28"/>
        </w:rPr>
        <w:t>к КСГ и опла</w:t>
      </w:r>
      <w:r w:rsidR="00012C3F">
        <w:rPr>
          <w:rFonts w:ascii="Times New Roman" w:hAnsi="Times New Roman" w:cs="Times New Roman"/>
          <w:sz w:val="28"/>
          <w:szCs w:val="28"/>
        </w:rPr>
        <w:t>чивается</w:t>
      </w:r>
      <w:r w:rsidRPr="00DD0C6F">
        <w:rPr>
          <w:rFonts w:ascii="Times New Roman" w:hAnsi="Times New Roman" w:cs="Times New Roman"/>
          <w:sz w:val="28"/>
          <w:szCs w:val="28"/>
        </w:rPr>
        <w:t xml:space="preserve">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14. При формировании стоимости случая лечения по КСГ, перечисленным в таблицах 4 и 5 применяется КфПУ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C6BCAF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580E3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037188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941A6F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7E0BD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58DDBB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F54128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03C7E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8913CC"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C5DC4A"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A33BB2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7DB61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AB9B35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дети (уровень 1)</w:t>
            </w:r>
          </w:p>
        </w:tc>
      </w:tr>
      <w:tr w:rsidR="00E533FF" w:rsidRPr="009D2A28" w14:paraId="5832E25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AD0A9D0"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321480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5893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AC15E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(уровень1)</w:t>
            </w:r>
          </w:p>
        </w:tc>
      </w:tr>
      <w:tr w:rsidR="00E533FF" w:rsidRPr="009D2A28" w14:paraId="4B6A5070"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1B8FA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 2)</w:t>
            </w:r>
          </w:p>
        </w:tc>
      </w:tr>
      <w:tr w:rsidR="00E533FF" w:rsidRPr="009D2A28" w14:paraId="22531A6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9CA9AF"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Дорсопатии, спондилопатии, остеопатии</w:t>
            </w:r>
          </w:p>
        </w:tc>
      </w:tr>
      <w:tr w:rsidR="00E533FF" w:rsidRPr="009D2A28" w14:paraId="455E689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9278906"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DE826E"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400C9D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BD8860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96B8C32"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FD1E41"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D8D7694" w14:textId="7C70B51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98F1045" w14:textId="40A8FE3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4B754B" w14:textId="2D69BB3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84E2D2" w14:textId="290B50D6"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57DCF32" w14:textId="649F6A7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Бронхит необструктивный, симптомы и признаки, относящиеся к органам дыхания</w:t>
            </w:r>
          </w:p>
        </w:tc>
      </w:tr>
      <w:tr w:rsidR="00E533FF" w:rsidRPr="009D2A28" w14:paraId="3D6CA62E"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A1C542F" w14:textId="549F895C"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C300702" w14:textId="5C8DD3C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655C876" w14:textId="1606788B"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2228D36" w14:textId="0C582B2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E75CFE0" w14:textId="7AC55C3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60CF33" w14:textId="57EBF2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110EA09" w14:textId="40C674D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35E16A" w14:textId="15E49E1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4061630" w14:textId="31F02D9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2A6E194" w14:textId="323B353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64BB795" w14:textId="3FE6BB2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B5A6F6" w14:textId="152F8E1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9D1B0C" w14:textId="7B65E2C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E54EA2" w14:textId="7FE8B4B1"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AD7828" w14:textId="5D74C31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36E210" w14:textId="1F1FE49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6B588A" w14:textId="7ED0B6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C6F2C16" w14:textId="1F34C5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440B1DB" w14:textId="1612657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557A36" w14:textId="62F6046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1)</w:t>
            </w:r>
          </w:p>
        </w:tc>
      </w:tr>
      <w:tr w:rsidR="00E533FF" w:rsidRPr="009D2A28" w14:paraId="4908014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76DE8E" w14:textId="623CF16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2)</w:t>
            </w:r>
          </w:p>
        </w:tc>
      </w:tr>
      <w:tr w:rsidR="00E533FF" w:rsidRPr="009D2A28" w14:paraId="351066E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325FF32" w14:textId="0849714D"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484937" w14:textId="14B213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8D31535" w14:textId="5B07312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95238EA" w14:textId="11E4B58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BE2A18B" w14:textId="7BE67B6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w:t>
            </w:r>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58812B84" w14:textId="37AE9B4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Голимумаб</w:t>
            </w:r>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D1F2D88" w14:textId="4694074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Адалимумаб</w:t>
            </w:r>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7D35C653" w14:textId="644DFC8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w:t>
            </w:r>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57D76BC" w14:textId="2112050F"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r w:rsidR="006D3A50" w:rsidRPr="00305E84">
              <w:rPr>
                <w:rFonts w:ascii="Times New Roman" w:eastAsia="Times New Roman" w:hAnsi="Times New Roman" w:cs="Times New Roman"/>
                <w:color w:val="000000"/>
                <w:sz w:val="28"/>
                <w:szCs w:val="28"/>
                <w:lang w:eastAsia="ru-RU"/>
              </w:rPr>
              <w:t>Абатацепт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E262B56" w14:textId="5F68238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w:t>
            </w:r>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2A85966" w14:textId="4A0AEF2C"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65BA001" w14:textId="5D32DFFB" w:rsidR="006D3A50"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459DB18" w14:textId="1B3E74B3"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Тоцилизумб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09F6EFE" w14:textId="2266F1A9"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w:t>
            </w:r>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9437BB0" w14:textId="0CE5BF1C" w:rsidR="00614216"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E1F0C10" w14:textId="73F8064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12325DB" w14:textId="70B1274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6D1518D" w14:textId="41C9C32A"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4790C43" w14:textId="6065CDF4" w:rsidR="00E533FF" w:rsidRPr="009D2A28" w:rsidRDefault="00840F5A"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3878D92" w14:textId="35F37912"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3C6F0F8" w14:textId="2269F384"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E32AD12" w14:textId="54B13163"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иммунодепрессантов с использованием препарата Секукинумаб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5B10408" w14:textId="7271DA9F" w:rsidR="002B771C"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5A22E19" w14:textId="7D54B0D2" w:rsidR="003B25E5"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D71AAAA" w14:textId="5029AB3E"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80BAB6E" w14:textId="0676A150"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20358FD3" w14:textId="62D948B6"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18201B1" w14:textId="2D48665B"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96BB9E" w14:textId="1EADE4FE"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C986AB6" w14:textId="4E65F983"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Реинфузия аутокрови</w:t>
            </w:r>
          </w:p>
        </w:tc>
      </w:tr>
      <w:tr w:rsidR="00E533FF" w:rsidRPr="009D2A28" w14:paraId="045262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7CA6804" w14:textId="6830C530"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E533FF" w:rsidRPr="009D2A28" w14:paraId="0307F6F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A76F6E" w14:textId="39AE1412"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Экстракорпоральная мембранная оксигенация</w:t>
            </w:r>
          </w:p>
        </w:tc>
      </w:tr>
      <w:tr w:rsidR="00E533FF" w:rsidRPr="009D2A28" w14:paraId="2CFDDAB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39ABAF2" w14:textId="7A9BB82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012C3F">
      <w:pPr>
        <w:pStyle w:val="ConsPlusNormal"/>
        <w:tabs>
          <w:tab w:val="left" w:pos="1134"/>
        </w:tabs>
        <w:ind w:firstLine="709"/>
        <w:jc w:val="both"/>
        <w:rPr>
          <w:rFonts w:ascii="Times New Roman" w:hAnsi="Times New Roman" w:cs="Times New Roman"/>
          <w:sz w:val="28"/>
          <w:szCs w:val="28"/>
        </w:rPr>
      </w:pPr>
      <w:bookmarkStart w:id="5" w:name="P3841"/>
      <w:bookmarkEnd w:id="5"/>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37B81320"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2BC2850C"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6076EFB4"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4DD6BE22"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A16.20.024 «Реконструкция влагалища»;</w:t>
      </w:r>
    </w:p>
    <w:p w14:paraId="4248EDDA" w14:textId="6FF5836F" w:rsidR="00012C3F" w:rsidRPr="00435B85"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w:t>
      </w:r>
      <w:r>
        <w:rPr>
          <w:rFonts w:ascii="Times New Roman" w:eastAsia="Times New Roman" w:hAnsi="Times New Roman" w:cs="Times New Roman"/>
          <w:sz w:val="28"/>
          <w:szCs w:val="28"/>
          <w:lang w:eastAsia="ru-RU"/>
        </w:rPr>
        <w:t>ановление вульвы и промежности»;</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Осложнения, связанные с беременностью</w:t>
            </w:r>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Беременность, закончившаяся абортивным исходом</w:t>
            </w:r>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Родоразрешение</w:t>
            </w:r>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Кесарево сечение</w:t>
            </w:r>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Ангионевротический отек, анафилактический шок</w:t>
            </w:r>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Доброкачественные новообразования, новообразования in situ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Аппендэктомия, взрослые (уровень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Реинфузия аутокрови</w:t>
            </w:r>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Баллонная внутриаортальная контрпульсация</w:t>
            </w:r>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Экстракорпоральная мембранная оксигенация</w:t>
            </w:r>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Искусственное прерывание беременности (аборт)</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Аборт медикаментозный</w:t>
            </w:r>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«Кер</w:t>
      </w:r>
      <w:r w:rsidRPr="008C123C">
        <w:rPr>
          <w:rFonts w:ascii="Times New Roman" w:hAnsi="Times New Roman" w:cs="Times New Roman"/>
          <w:sz w:val="28"/>
          <w:szCs w:val="28"/>
        </w:rPr>
        <w:t>атэктомия».</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Родоразрешение</w:t>
            </w:r>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Эндокардит, миокардит, перикардит, кардиомиопатии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Эвисцерация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(Баллонная ангиопластика со стентированием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(Установка стента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сосудов с помощью микроспиралей)</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полости аневризмы с помощью микроспиралей)</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Эндопротезирование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Реинфузия аутокрови</w:t>
            </w:r>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Экстракорпоральная мембранная оксигенация</w:t>
            </w:r>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t>6. Случаи оказания медицинской помощи при коронавирусной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4160EF90"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r w:rsidR="00BF3DAE">
        <w:rPr>
          <w:rFonts w:ascii="Times New Roman" w:hAnsi="Times New Roman" w:cs="Times New Roman"/>
          <w:sz w:val="28"/>
          <w:szCs w:val="28"/>
        </w:rPr>
        <w:t xml:space="preserve">настоящей </w:t>
      </w:r>
      <w:r w:rsidRPr="00A11D31">
        <w:rPr>
          <w:rFonts w:ascii="Times New Roman" w:hAnsi="Times New Roman" w:cs="Times New Roman"/>
          <w:sz w:val="28"/>
          <w:szCs w:val="28"/>
        </w:rPr>
        <w:t>статьей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«Коронавирусная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4"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r w:rsidR="00987306" w:rsidRPr="008C123C">
        <w:rPr>
          <w:rFonts w:ascii="Times New Roman" w:hAnsi="Times New Roman" w:cs="Times New Roman"/>
          <w:sz w:val="28"/>
          <w:szCs w:val="28"/>
        </w:rPr>
        <w:t>ФПдНФ</w:t>
      </w:r>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ФПдНФ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ФПдНФ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вызова скорой медицинской помощи с применением тромболитической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не включенную в ФПдНФ,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3. При оплате медицинской помощи по тарифу ФПдНФ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ОМС, </w:t>
            </w:r>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сверхбазовой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подушевого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рассчитанные с учетом КфД</w:t>
      </w:r>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5"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 и КфСЛ.</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Сложность лечения пациента, связанная с заболеваниями и их осложнениями, вызванными микрорганизмами с антибиотикрезистентностью,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молекулярно-генетического и/или иммуногистохимического исследования в целях диагнос</w:t>
            </w:r>
            <w:r w:rsidR="00C1254A">
              <w:rPr>
                <w:rFonts w:ascii="Times New Roman" w:hAnsi="Times New Roman" w:cs="Times New Roman"/>
                <w:sz w:val="28"/>
                <w:szCs w:val="28"/>
              </w:rPr>
              <w:t>-</w:t>
            </w:r>
            <w:r w:rsidRPr="008C123C">
              <w:rPr>
                <w:rFonts w:ascii="Times New Roman" w:hAnsi="Times New Roman" w:cs="Times New Roman"/>
                <w:sz w:val="28"/>
                <w:szCs w:val="28"/>
              </w:rPr>
              <w:t>тики 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проведения молекулярно-генетического и/или иммуногистохимического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КфУР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Величины КфПУ,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При оказании медицинской помощи в стационарных условиях КфПУ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КфПУ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КфПУ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перитонеального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3124CC" w:rsidP="001F0207">
      <w:pPr>
        <w:pStyle w:val="ConsPlusNormal"/>
        <w:tabs>
          <w:tab w:val="left" w:pos="1134"/>
        </w:tabs>
        <w:ind w:firstLine="709"/>
        <w:jc w:val="both"/>
        <w:rPr>
          <w:rFonts w:ascii="Times New Roman" w:hAnsi="Times New Roman" w:cs="Times New Roman"/>
          <w:sz w:val="28"/>
          <w:szCs w:val="28"/>
        </w:rPr>
      </w:pPr>
      <w:hyperlink r:id="rId26"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приведены в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0A0648">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0A0648">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0A0648">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0A0648">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0A0648">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0A0648">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0A0648">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0A0648">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0A0648">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0A0648">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0A0648">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0A0648">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0A0648">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BCA4C1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Порядок применения неоплаты </w:t>
      </w:r>
      <w:r w:rsidR="00BF3DAE">
        <w:rPr>
          <w:rFonts w:ascii="Times New Roman" w:hAnsi="Times New Roman" w:cs="Times New Roman"/>
          <w:sz w:val="28"/>
          <w:szCs w:val="28"/>
        </w:rPr>
        <w:t xml:space="preserve">или </w:t>
      </w:r>
      <w:r w:rsidR="001C34E2" w:rsidRPr="00A11D31">
        <w:rPr>
          <w:rFonts w:ascii="Times New Roman" w:hAnsi="Times New Roman" w:cs="Times New Roman"/>
          <w:sz w:val="28"/>
          <w:szCs w:val="28"/>
        </w:rPr>
        <w:t>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7"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8"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9"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Макоева</w:t>
            </w:r>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 xml:space="preserve">филиала ООО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30"/>
      <w:headerReference w:type="first" r:id="rId31"/>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E578" w14:textId="77777777" w:rsidR="00F7545B" w:rsidRDefault="00F7545B" w:rsidP="007E5A8B">
      <w:pPr>
        <w:spacing w:line="240" w:lineRule="auto"/>
      </w:pPr>
      <w:r>
        <w:separator/>
      </w:r>
    </w:p>
  </w:endnote>
  <w:endnote w:type="continuationSeparator" w:id="0">
    <w:p w14:paraId="0003766F" w14:textId="77777777" w:rsidR="00F7545B" w:rsidRDefault="00F7545B"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C5006" w14:textId="77777777" w:rsidR="00F7545B" w:rsidRDefault="00F7545B" w:rsidP="007E5A8B">
      <w:pPr>
        <w:spacing w:line="240" w:lineRule="auto"/>
      </w:pPr>
      <w:r>
        <w:separator/>
      </w:r>
    </w:p>
  </w:footnote>
  <w:footnote w:type="continuationSeparator" w:id="0">
    <w:p w14:paraId="5D1D5775" w14:textId="77777777" w:rsidR="00F7545B" w:rsidRDefault="00F7545B" w:rsidP="007E5A8B">
      <w:pPr>
        <w:spacing w:line="240" w:lineRule="auto"/>
      </w:pPr>
      <w:r>
        <w:continuationSeparator/>
      </w:r>
    </w:p>
  </w:footnote>
  <w:footnote w:id="1">
    <w:p w14:paraId="0A285E77" w14:textId="36CCB937" w:rsidR="00012C3F" w:rsidRPr="0032680D" w:rsidRDefault="00012C3F">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012C3F" w:rsidRPr="00C84D15" w:rsidRDefault="00012C3F">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012C3F" w:rsidRPr="001058A2" w:rsidRDefault="00012C3F"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012C3F" w:rsidRPr="002D21C2" w:rsidRDefault="00012C3F"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012C3F" w:rsidRPr="00CD7946" w:rsidRDefault="00012C3F"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012C3F" w:rsidRPr="001058A2" w:rsidRDefault="00012C3F">
      <w:pPr>
        <w:pStyle w:val="a4"/>
        <w:rPr>
          <w:rFonts w:ascii="Times New Roman" w:hAnsi="Times New Roman" w:cs="Times New Roman"/>
        </w:rPr>
      </w:pPr>
    </w:p>
  </w:footnote>
  <w:footnote w:id="6">
    <w:p w14:paraId="39D15232" w14:textId="0A134D68" w:rsidR="00012C3F" w:rsidRDefault="00012C3F"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012C3F" w:rsidRDefault="00012C3F">
      <w:pPr>
        <w:pStyle w:val="a4"/>
      </w:pPr>
    </w:p>
  </w:footnote>
  <w:footnote w:id="7">
    <w:p w14:paraId="44ED11CA" w14:textId="750C2396" w:rsidR="00012C3F" w:rsidRPr="003561A3" w:rsidRDefault="00012C3F"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012C3F" w:rsidRPr="001058A2" w:rsidRDefault="00012C3F">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012C3F" w:rsidRDefault="00012C3F">
        <w:pPr>
          <w:pStyle w:val="af0"/>
          <w:jc w:val="center"/>
          <w:rPr>
            <w:rFonts w:ascii="Times New Roman" w:hAnsi="Times New Roman" w:cs="Times New Roman"/>
            <w:sz w:val="28"/>
            <w:szCs w:val="28"/>
          </w:rPr>
        </w:pPr>
      </w:p>
      <w:p w14:paraId="6927CA40" w14:textId="77777777" w:rsidR="00012C3F" w:rsidRDefault="00012C3F">
        <w:pPr>
          <w:pStyle w:val="af0"/>
          <w:jc w:val="center"/>
          <w:rPr>
            <w:rFonts w:ascii="Times New Roman" w:hAnsi="Times New Roman" w:cs="Times New Roman"/>
            <w:sz w:val="28"/>
            <w:szCs w:val="28"/>
          </w:rPr>
        </w:pPr>
      </w:p>
      <w:p w14:paraId="7ED5FD01" w14:textId="35663433" w:rsidR="00012C3F" w:rsidRPr="00FD79FD" w:rsidRDefault="00012C3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3124CC">
          <w:rPr>
            <w:rFonts w:ascii="Times New Roman" w:hAnsi="Times New Roman" w:cs="Times New Roman"/>
            <w:noProof/>
            <w:sz w:val="28"/>
            <w:szCs w:val="28"/>
          </w:rPr>
          <w:t>13</w:t>
        </w:r>
        <w:r w:rsidRPr="00FD79FD">
          <w:rPr>
            <w:rFonts w:ascii="Times New Roman" w:hAnsi="Times New Roman" w:cs="Times New Roman"/>
            <w:sz w:val="28"/>
            <w:szCs w:val="28"/>
          </w:rPr>
          <w:fldChar w:fldCharType="end"/>
        </w:r>
      </w:p>
    </w:sdtContent>
  </w:sdt>
  <w:p w14:paraId="0BFF09FE" w14:textId="77777777" w:rsidR="00012C3F" w:rsidRPr="00FD79FD" w:rsidRDefault="00012C3F">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360F" w14:textId="77777777" w:rsidR="00012C3F" w:rsidRDefault="00012C3F" w:rsidP="00F12ADF">
    <w:pPr>
      <w:pStyle w:val="af0"/>
      <w:jc w:val="right"/>
    </w:pPr>
  </w:p>
  <w:p w14:paraId="0CDDAA67" w14:textId="77777777" w:rsidR="00012C3F" w:rsidRDefault="00012C3F"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2C3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648"/>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4CC"/>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07"/>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1E54"/>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3DAE"/>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5B6"/>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45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FA85D5C6A442C419FDAFCACF7D015E9EE3B868A0FD522761E9E6083E40EAB310209ABDD03C0EBT9H2O" TargetMode="External"/><Relationship Id="rId18" Type="http://schemas.openxmlformats.org/officeDocument/2006/relationships/hyperlink" Target="consultantplus://offline/ref=498FA85D5C6A442C419FC4F1BA9B8E1FEFED6782880CD9762B41C53DD4ED04FCT7H6O" TargetMode="External"/><Relationship Id="rId26" Type="http://schemas.openxmlformats.org/officeDocument/2006/relationships/hyperlink" Target="consultantplus://offline/ref=0A74AA2242A6F2BC02C1748032E767281D9071F653B3A2B13C23BC5E25B85DCCD5E3E103F5FABBFA31AC3EU6H5O" TargetMode="External"/><Relationship Id="rId3" Type="http://schemas.openxmlformats.org/officeDocument/2006/relationships/styles" Target="styles.xml"/><Relationship Id="rId21" Type="http://schemas.openxmlformats.org/officeDocument/2006/relationships/hyperlink" Target="consultantplus://offline/ref=498FA85D5C6A442C419FDAFCACF7D015E9EE3B868A01D522761E9E6083TEH4O" TargetMode="External"/><Relationship Id="rId7" Type="http://schemas.openxmlformats.org/officeDocument/2006/relationships/footnotes" Target="footnotes.xml"/><Relationship Id="rId12" Type="http://schemas.openxmlformats.org/officeDocument/2006/relationships/hyperlink" Target="consultantplus://offline/ref=498FA85D5C6A442C419FDAFCACF7D015E9E138888A0BD522761E9E6083E40EAB310209ABDD03C3E0T9H7O" TargetMode="External"/><Relationship Id="rId17" Type="http://schemas.openxmlformats.org/officeDocument/2006/relationships/hyperlink" Target="consultantplus://offline/ref=498FA85D5C6A442C419FC4F1BA9B8E1FEFED67828608DA762B41C53DD4ED04FC764D50E9990EC6E393A9F5T4H8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2T4H0O" TargetMode="External"/><Relationship Id="rId20" Type="http://schemas.openxmlformats.org/officeDocument/2006/relationships/hyperlink" Target="consultantplus://offline/ref=498FA85D5C6A442C419FDAFCACF7D015E9E13D8D8C0AD522761E9E6083E40EAB310209ABDD03C7E2T9H3O" TargetMode="External"/><Relationship Id="rId29" Type="http://schemas.openxmlformats.org/officeDocument/2006/relationships/hyperlink" Target="consultantplus://offline/ref=0A74AA2242A6F2BC02C16A8D248B39221B9328FA59B6AFE4647CE70372B1579B92ACB841B1F7BAFBU3H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FA85D5C6A442C419FDAFCACF7D015E9E138888A0BD522761E9E6083E40EAB310209ABDD03C4E0T9H2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8FA85D5C6A442C419FDAFCACF7D015E9E13888870CD522761E9E6083E40EAB310209ABDD03C7E2T9H5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0A74AA2242A6F2BC02C16A8D248B39221B932DF25EB3AFE4647CE70372UBH1O" TargetMode="External"/><Relationship Id="rId10" Type="http://schemas.openxmlformats.org/officeDocument/2006/relationships/hyperlink" Target="consultantplus://offline/ref=498FA85D5C6A442C419FC4F1BA9B8E1FEFED67828608DA762B41C53DD4ED04FC764D50E9990EC6E393A9FBT4H1O" TargetMode="External"/><Relationship Id="rId19" Type="http://schemas.openxmlformats.org/officeDocument/2006/relationships/hyperlink" Target="consultantplus://offline/ref=498FA85D5C6A442C419FDAFCACF7D015E9EE3E8E8D0AD522761E9E6083E40EAB310209ABDD03C7E2T9H3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498FA85D5C6A442C419FDAFCACF7D015E9E138888A0BD522761E9E6083E40EAB310209ABDD03C0E4T9H3O" TargetMode="External"/><Relationship Id="rId14" Type="http://schemas.openxmlformats.org/officeDocument/2006/relationships/hyperlink" Target="consultantplus://offline/ref=498FA85D5C6A442C419FDAFCACF7D015E9E138888A0BD522761E9E6083TEH4O" TargetMode="External"/><Relationship Id="rId22" Type="http://schemas.openxmlformats.org/officeDocument/2006/relationships/hyperlink" Target="consultantplus://offline/ref=0A74AA2242A6F2BC02C16A8D248B39221B932CFC58BCAFE4647CE70372UBH1O" TargetMode="External"/><Relationship Id="rId27" Type="http://schemas.openxmlformats.org/officeDocument/2006/relationships/hyperlink" Target="consultantplus://offline/ref=0A74AA2242A6F2BC02C1748032E767281D9071F658B3A3BB3023BC5E25B85DCCD5E3E103F5FABBFA31AD38U6H9O"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B629-C331-4E3D-B926-B61B8C7F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31115</Words>
  <Characters>177356</Characters>
  <Application>Microsoft Office Word</Application>
  <DocSecurity>4</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Volegova Svetlana</cp:lastModifiedBy>
  <cp:revision>2</cp:revision>
  <cp:lastPrinted>2020-12-30T08:48:00Z</cp:lastPrinted>
  <dcterms:created xsi:type="dcterms:W3CDTF">2021-01-11T13:22:00Z</dcterms:created>
  <dcterms:modified xsi:type="dcterms:W3CDTF">2021-01-11T13:22:00Z</dcterms:modified>
</cp:coreProperties>
</file>