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FBB" w:rsidRDefault="00E83FBB" w:rsidP="00E83FBB">
      <w:pPr>
        <w:pStyle w:val="ConsPlusTitle"/>
        <w:jc w:val="center"/>
        <w:outlineLvl w:val="1"/>
      </w:pPr>
      <w:r>
        <w:t>VIII. Критерии доступности и качества медицинской помощи</w:t>
      </w:r>
    </w:p>
    <w:p w:rsidR="00E83FBB" w:rsidRDefault="00E83FBB" w:rsidP="00E83FBB">
      <w:pPr>
        <w:pStyle w:val="ConsPlusTitle"/>
        <w:jc w:val="center"/>
        <w:outlineLvl w:val="1"/>
      </w:pPr>
      <w:r>
        <w:t>В редакции Постановления Правительства РФ от 2</w:t>
      </w:r>
      <w:r w:rsidRPr="00E83FBB">
        <w:t>8</w:t>
      </w:r>
      <w:r>
        <w:t>.12.2023</w:t>
      </w:r>
      <w:r>
        <w:t xml:space="preserve"> N 2</w:t>
      </w:r>
      <w:r w:rsidRPr="00E83FBB">
        <w:t>353</w:t>
      </w:r>
      <w:r>
        <w:t xml:space="preserve"> "О Программе государственных гарантий бесплатного оказания гражданам медицинской помощи на 202</w:t>
      </w:r>
      <w:r w:rsidRPr="00E83FBB">
        <w:t>4</w:t>
      </w:r>
      <w:r>
        <w:t xml:space="preserve"> год и на плановый период 202</w:t>
      </w:r>
      <w:r w:rsidRPr="00E83FBB">
        <w:t>5</w:t>
      </w:r>
      <w:r>
        <w:t xml:space="preserve"> и 202</w:t>
      </w:r>
      <w:r w:rsidRPr="00E83FBB">
        <w:t>6</w:t>
      </w:r>
      <w:bookmarkStart w:id="0" w:name="_GoBack"/>
      <w:bookmarkEnd w:id="0"/>
      <w:r>
        <w:t xml:space="preserve"> годов"</w:t>
      </w:r>
    </w:p>
    <w:p w:rsidR="00E83FBB" w:rsidRDefault="00E83FBB" w:rsidP="00E83FBB">
      <w:pPr>
        <w:pStyle w:val="ConsPlusNormal"/>
        <w:jc w:val="both"/>
      </w:pPr>
    </w:p>
    <w:p w:rsidR="00E83FBB" w:rsidRDefault="00E83FBB" w:rsidP="00E83FBB">
      <w:pPr>
        <w:pStyle w:val="ConsPlusNormal"/>
        <w:ind w:firstLine="540"/>
        <w:jc w:val="both"/>
      </w:pPr>
      <w:r>
        <w:t>Критериями доступности медицинской помощи являются: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удовлетворенность населения доступностью медицинской помощи, в том числе городского и сельского населения (процентов числа опрошенных);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доля расходов на оказание медицинской помощи в условиях дневных стационаров в общих расходах на территориальную программу государственных гарантий;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доля граждан, обеспеченных лекарственными препаратами, в общем количестве льготных категорий граждан;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крови.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Критериями качества медицинской помощи являются: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 xml:space="preserve"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</w:t>
      </w:r>
      <w:r>
        <w:lastRenderedPageBreak/>
        <w:t>течение года у несовершеннолетних;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 xml:space="preserve">доля пациентов с острым инфарктом миокарда, которым проведено </w:t>
      </w:r>
      <w:proofErr w:type="spellStart"/>
      <w:r>
        <w:t>стентирование</w:t>
      </w:r>
      <w:proofErr w:type="spellEnd"/>
      <w:r>
        <w:t xml:space="preserve"> коронарных артерий, в общем количестве пациентов с острым инфарктом миокарда, имеющих показания к его проведению;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 xml:space="preserve">доля пациентов с острым и повторным инфарктом миокарда, которым выездной бригадой скорой медицинской помощи проведен </w:t>
      </w:r>
      <w:proofErr w:type="spellStart"/>
      <w:r>
        <w:t>тромболизис</w:t>
      </w:r>
      <w:proofErr w:type="spellEnd"/>
      <w:r>
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 xml:space="preserve">доля пациентов с острым инфарктом миокарда, которым проведена </w:t>
      </w:r>
      <w:proofErr w:type="spellStart"/>
      <w:r>
        <w:t>тромболитическая</w:t>
      </w:r>
      <w:proofErr w:type="spellEnd"/>
      <w:r>
        <w:t xml:space="preserve"> терапия в первые 12 часов от начала заболевания, в общем количестве пациентов с острым инфарктом миокарда, имеющих показания к ее проведению;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 xml:space="preserve">доля пациентов с острым ишемическим инсультом, которым проведена </w:t>
      </w:r>
      <w:proofErr w:type="spellStart"/>
      <w:r>
        <w:t>тромболитическая</w:t>
      </w:r>
      <w:proofErr w:type="spellEnd"/>
      <w: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 xml:space="preserve">доля пациентов с острым ишемическим инсультом, которым проведена </w:t>
      </w:r>
      <w:proofErr w:type="spellStart"/>
      <w:r>
        <w:t>тромболитическая</w:t>
      </w:r>
      <w:proofErr w:type="spellEnd"/>
      <w: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доля пациентов, получающих лечебное (</w:t>
      </w:r>
      <w:proofErr w:type="spellStart"/>
      <w:r>
        <w:t>энтеральное</w:t>
      </w:r>
      <w:proofErr w:type="spellEnd"/>
      <w:r>
        <w:t>) питание в рамках оказания паллиативной медицинской помощи, в общем количестве пациентов, нуждающихся в лечебном (</w:t>
      </w:r>
      <w:proofErr w:type="spellStart"/>
      <w:r>
        <w:t>энтеральном</w:t>
      </w:r>
      <w:proofErr w:type="spellEnd"/>
      <w:r>
        <w:t>) питании при оказании паллиативной медицинской помощи;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доля лиц репродуктивного возраста, прошедших диспансеризацию для оценки репродуктивного здоровья женщин и мужчин (отдельно по мужчинам и женщинам);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число циклов экстракорпорального оплодотворения, выполняемых медицинской организацией, в течение одного года;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доля случаев экстракорпорального оплодотворения, по результатам которого у женщины наступила беременность;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государственных гарантий;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"бронхиальная астма", процентов в год;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 xml:space="preserve">охват диспансерным наблюдением граждан, состоящих на учете в медицинской организации с диагнозом "хроническая </w:t>
      </w:r>
      <w:proofErr w:type="spellStart"/>
      <w:r>
        <w:t>обструктивная</w:t>
      </w:r>
      <w:proofErr w:type="spellEnd"/>
      <w:r>
        <w:t xml:space="preserve"> болезнь легких", процентов в год;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"гипертоническая болезнь", процентов в год;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"сахарный диабет", процентов в год;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количество пациентов с гепатитом C, получивших противовирусную терапию, на 100 тыс. населения в год;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доля ветеранов боевых действий, получивших паллиативную медицинскую помощь и (или) лечебное (</w:t>
      </w:r>
      <w:proofErr w:type="spellStart"/>
      <w:r>
        <w:t>энтеральное</w:t>
      </w:r>
      <w:proofErr w:type="spellEnd"/>
      <w:r>
        <w:t>) питание, из числа нуждающихся;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диагноза.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Территориальной программой государственных гарантий устанавливаются целевые значения критериев доступности и качества медицинской помощи, на основе которых проводится комплексная оценка их уровня и динамики.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Целевые значения критериев доступности и качества медицинской помощи на соответствующий год не могут отличаться от значений показателей и (или) результатов, установленных в региональных проектах национальных проектов "Здравоохранение" и "Демография".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Федерации.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Кроме того, субъектами Российской Федерации проводится оценка эффективности деятельности медицинских организаций, в том числе расположенных в городской и сельской местности (на основе выполнения функции врачебной должности, показателей использования коечного фонда).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Критериями доступности медицинской помощи, оказываемой федеральными медицинскими организациями, являются: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 xml:space="preserve">доля объема специализированной, в том числе высокотехнологичной, медицинской помощи с коэффициентом относительной </w:t>
      </w:r>
      <w:proofErr w:type="spellStart"/>
      <w:r>
        <w:t>затратоемкости</w:t>
      </w:r>
      <w:proofErr w:type="spellEnd"/>
      <w:r>
        <w:t>, равным 2 и более, в объеме оказанной специализированной, в том числе высокотехнологичной, медицинской помощи (для образовательных организаций высшего образования, осуществляющих оказание медицинской помощи в 2024 - 2026 годах не менее 60 процентов, для остальных федеральных медицинских организаций в 2024 году - не менее 70 процентов, в 2025 и 2026 годах - не менее 75 процентов);</w:t>
      </w:r>
    </w:p>
    <w:p w:rsidR="00E83FBB" w:rsidRDefault="00E83FBB" w:rsidP="00E83FBB">
      <w:pPr>
        <w:pStyle w:val="ConsPlusNormal"/>
        <w:spacing w:before="220"/>
        <w:ind w:firstLine="540"/>
        <w:jc w:val="both"/>
      </w:pPr>
      <w:r>
        <w:t>доля доходов за счет средств обязательного медицинского страхования в общем объеме доходов федеральной медицинской организации (целевое значение для медицинских организаций, оказывающих медицинскую помощь при заболеваниях и состояниях, входящих в базовую программу обязательного медицинского страхования, - не менее 20 процентов).</w:t>
      </w:r>
    </w:p>
    <w:p w:rsidR="009811DB" w:rsidRDefault="009811DB"/>
    <w:sectPr w:rsidR="0098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BB"/>
    <w:rsid w:val="009811DB"/>
    <w:rsid w:val="00E8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32D1"/>
  <w15:chartTrackingRefBased/>
  <w15:docId w15:val="{E558995F-8CE2-4894-88BF-F00B9868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F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3F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1471</Words>
  <Characters>8386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VIII. Критерии доступности и качества медицинской помощи</vt:lpstr>
      <vt:lpstr>    В редакции Постановления Правительства РФ от 28.12.2023 N 2353 "О Программе госу</vt:lpstr>
    </vt:vector>
  </TitlesOfParts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 Smirnova</dc:creator>
  <cp:keywords/>
  <dc:description/>
  <cp:lastModifiedBy>Lubov Smirnova</cp:lastModifiedBy>
  <cp:revision>1</cp:revision>
  <dcterms:created xsi:type="dcterms:W3CDTF">2024-05-12T15:05:00Z</dcterms:created>
  <dcterms:modified xsi:type="dcterms:W3CDTF">2024-05-12T15:12:00Z</dcterms:modified>
</cp:coreProperties>
</file>