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493"/>
        <w:gridCol w:w="1338"/>
        <w:gridCol w:w="1066"/>
        <w:gridCol w:w="987"/>
      </w:tblGrid>
      <w:tr w:rsidR="009E5154" w:rsidRPr="009E5154" w:rsidTr="009E5154">
        <w:trPr>
          <w:trHeight w:val="342"/>
        </w:trPr>
        <w:tc>
          <w:tcPr>
            <w:tcW w:w="7780" w:type="dxa"/>
            <w:gridSpan w:val="5"/>
            <w:vMerge w:val="restart"/>
            <w:noWrap/>
            <w:hideMark/>
          </w:tcPr>
          <w:p w:rsidR="009E5154" w:rsidRPr="009E5154" w:rsidRDefault="009E5154" w:rsidP="009E5154">
            <w:bookmarkStart w:id="0" w:name="_GoBack"/>
            <w:bookmarkEnd w:id="0"/>
            <w:r w:rsidRPr="009E5154">
              <w:t xml:space="preserve">Критерии качества медицинской помощи </w:t>
            </w:r>
          </w:p>
        </w:tc>
      </w:tr>
      <w:tr w:rsidR="009E5154" w:rsidRPr="009E5154" w:rsidTr="009E5154">
        <w:trPr>
          <w:trHeight w:val="450"/>
        </w:trPr>
        <w:tc>
          <w:tcPr>
            <w:tcW w:w="7780" w:type="dxa"/>
            <w:gridSpan w:val="5"/>
            <w:vMerge/>
            <w:hideMark/>
          </w:tcPr>
          <w:p w:rsidR="009E5154" w:rsidRPr="009E5154" w:rsidRDefault="009E5154"/>
        </w:tc>
      </w:tr>
      <w:tr w:rsidR="009E5154" w:rsidRPr="009E5154" w:rsidTr="009E5154">
        <w:trPr>
          <w:trHeight w:val="219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№</w:t>
            </w:r>
          </w:p>
        </w:tc>
        <w:tc>
          <w:tcPr>
            <w:tcW w:w="2493" w:type="dxa"/>
            <w:vMerge w:val="restart"/>
            <w:hideMark/>
          </w:tcPr>
          <w:p w:rsidR="009E5154" w:rsidRPr="009E5154" w:rsidRDefault="009E5154" w:rsidP="009E5154">
            <w:r w:rsidRPr="009E5154">
              <w:t>Наименование критериев качества медицинской помощи</w:t>
            </w:r>
          </w:p>
        </w:tc>
        <w:tc>
          <w:tcPr>
            <w:tcW w:w="1338" w:type="dxa"/>
            <w:vMerge w:val="restart"/>
            <w:hideMark/>
          </w:tcPr>
          <w:p w:rsidR="009E5154" w:rsidRPr="009E5154" w:rsidRDefault="009E5154" w:rsidP="009E5154">
            <w:r w:rsidRPr="009E5154">
              <w:t>2021 год</w:t>
            </w:r>
          </w:p>
        </w:tc>
        <w:tc>
          <w:tcPr>
            <w:tcW w:w="1066" w:type="dxa"/>
            <w:vMerge w:val="restart"/>
            <w:hideMark/>
          </w:tcPr>
          <w:p w:rsidR="009E5154" w:rsidRPr="009E5154" w:rsidRDefault="009E5154" w:rsidP="009E5154">
            <w:r w:rsidRPr="009E5154">
              <w:t>2022 год</w:t>
            </w:r>
          </w:p>
        </w:tc>
        <w:tc>
          <w:tcPr>
            <w:tcW w:w="987" w:type="dxa"/>
            <w:vMerge w:val="restart"/>
            <w:hideMark/>
          </w:tcPr>
          <w:p w:rsidR="009E5154" w:rsidRPr="009E5154" w:rsidRDefault="009E5154" w:rsidP="009E5154">
            <w:r w:rsidRPr="009E5154">
              <w:t>2023 год</w:t>
            </w:r>
          </w:p>
        </w:tc>
      </w:tr>
      <w:tr w:rsidR="009E5154" w:rsidRPr="009E5154" w:rsidTr="009E5154">
        <w:trPr>
          <w:trHeight w:val="3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п/п</w:t>
            </w:r>
          </w:p>
        </w:tc>
        <w:tc>
          <w:tcPr>
            <w:tcW w:w="2493" w:type="dxa"/>
            <w:vMerge/>
            <w:hideMark/>
          </w:tcPr>
          <w:p w:rsidR="009E5154" w:rsidRPr="009E5154" w:rsidRDefault="009E5154"/>
        </w:tc>
        <w:tc>
          <w:tcPr>
            <w:tcW w:w="1338" w:type="dxa"/>
            <w:vMerge/>
            <w:hideMark/>
          </w:tcPr>
          <w:p w:rsidR="009E5154" w:rsidRPr="009E5154" w:rsidRDefault="009E5154"/>
        </w:tc>
        <w:tc>
          <w:tcPr>
            <w:tcW w:w="1066" w:type="dxa"/>
            <w:vMerge/>
            <w:hideMark/>
          </w:tcPr>
          <w:p w:rsidR="009E5154" w:rsidRPr="009E5154" w:rsidRDefault="009E5154"/>
        </w:tc>
        <w:tc>
          <w:tcPr>
            <w:tcW w:w="987" w:type="dxa"/>
            <w:vMerge/>
            <w:hideMark/>
          </w:tcPr>
          <w:p w:rsidR="009E5154" w:rsidRPr="009E5154" w:rsidRDefault="009E5154"/>
        </w:tc>
      </w:tr>
      <w:tr w:rsidR="009E5154" w:rsidRPr="009E5154" w:rsidTr="009E5154">
        <w:trPr>
          <w:trHeight w:val="30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2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3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4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5</w:t>
            </w:r>
          </w:p>
        </w:tc>
      </w:tr>
      <w:tr w:rsidR="009E5154" w:rsidRPr="009E5154" w:rsidTr="009E5154">
        <w:trPr>
          <w:trHeight w:val="171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80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81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82</w:t>
            </w:r>
          </w:p>
        </w:tc>
      </w:tr>
      <w:tr w:rsidR="009E5154" w:rsidRPr="009E5154" w:rsidTr="009E5154">
        <w:trPr>
          <w:trHeight w:val="171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2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умерших в возрасте до 1 года на дому в общем количестве умерших в возрасте до 1 года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5,6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5,5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5,5</w:t>
            </w:r>
          </w:p>
        </w:tc>
      </w:tr>
      <w:tr w:rsidR="009E5154" w:rsidRPr="009E5154" w:rsidTr="009E5154">
        <w:trPr>
          <w:trHeight w:val="171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3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6,4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6,3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6,3</w:t>
            </w:r>
          </w:p>
        </w:tc>
      </w:tr>
      <w:tr w:rsidR="009E5154" w:rsidRPr="009E5154" w:rsidTr="009E5154">
        <w:trPr>
          <w:trHeight w:val="399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4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19,9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19,9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19,9</w:t>
            </w:r>
          </w:p>
        </w:tc>
      </w:tr>
      <w:tr w:rsidR="009E5154" w:rsidRPr="009E5154" w:rsidTr="009E5154">
        <w:trPr>
          <w:trHeight w:val="427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5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3,5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3,6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3,7</w:t>
            </w:r>
          </w:p>
        </w:tc>
      </w:tr>
      <w:tr w:rsidR="009E5154" w:rsidRPr="009E5154" w:rsidTr="009E5154">
        <w:trPr>
          <w:trHeight w:val="45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6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57,8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58,7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59,2</w:t>
            </w:r>
          </w:p>
        </w:tc>
      </w:tr>
      <w:tr w:rsidR="009E5154" w:rsidRPr="009E5154" w:rsidTr="009E5154">
        <w:trPr>
          <w:trHeight w:val="370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7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72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73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74</w:t>
            </w:r>
          </w:p>
        </w:tc>
      </w:tr>
      <w:tr w:rsidR="009E5154" w:rsidRPr="009E5154" w:rsidTr="009E5154">
        <w:trPr>
          <w:trHeight w:val="399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8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 xml:space="preserve">Доля пациентов с острым инфарктом миокарда, которым проведено </w:t>
            </w:r>
            <w:proofErr w:type="spellStart"/>
            <w:r w:rsidRPr="009E5154">
              <w:t>стентирование</w:t>
            </w:r>
            <w:proofErr w:type="spellEnd"/>
            <w:r w:rsidRPr="009E5154">
              <w:t xml:space="preserve"> коронарных артерий, в общем количестве пациентов с острым инфарктом миокарда, имеющих показания к его проведению проценты)6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81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83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84</w:t>
            </w:r>
          </w:p>
        </w:tc>
      </w:tr>
      <w:tr w:rsidR="009E5154" w:rsidRPr="009E5154" w:rsidTr="009E5154">
        <w:trPr>
          <w:trHeight w:val="598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9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9E5154">
              <w:t>тромболизис</w:t>
            </w:r>
            <w:proofErr w:type="spellEnd"/>
            <w:r w:rsidRPr="009E5154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(проценты)7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99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99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99</w:t>
            </w:r>
          </w:p>
        </w:tc>
      </w:tr>
      <w:tr w:rsidR="009E5154" w:rsidRPr="009E5154" w:rsidTr="009E5154">
        <w:trPr>
          <w:trHeight w:val="370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10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 xml:space="preserve">Доля пациентов с острым инфарктом миокарда, которым проведена </w:t>
            </w:r>
            <w:proofErr w:type="spellStart"/>
            <w:r w:rsidRPr="009E5154">
              <w:t>тромболитическая</w:t>
            </w:r>
            <w:proofErr w:type="spellEnd"/>
            <w:r w:rsidRPr="009E5154">
              <w:t xml:space="preserve"> терапия, в общем количестве пациентов с острым инфарктом миокарда, имеющих показания к ее проведению (проценты)7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99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99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99</w:t>
            </w:r>
          </w:p>
        </w:tc>
      </w:tr>
      <w:tr w:rsidR="009E5154" w:rsidRPr="009E5154" w:rsidTr="009E5154">
        <w:trPr>
          <w:trHeight w:val="570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11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30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31,5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32</w:t>
            </w:r>
          </w:p>
        </w:tc>
      </w:tr>
      <w:tr w:rsidR="009E5154" w:rsidRPr="009E5154" w:rsidTr="009E5154">
        <w:trPr>
          <w:trHeight w:val="570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12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 xml:space="preserve">Доля пациентов с острым ишемическим инсультом, которым проведена </w:t>
            </w:r>
            <w:proofErr w:type="spellStart"/>
            <w:r w:rsidRPr="009E5154">
              <w:t>тромболитическая</w:t>
            </w:r>
            <w:proofErr w:type="spellEnd"/>
            <w:r w:rsidRPr="009E5154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(проценты)7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97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97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97</w:t>
            </w:r>
          </w:p>
        </w:tc>
      </w:tr>
      <w:tr w:rsidR="009E5154" w:rsidRPr="009E5154" w:rsidTr="009E5154">
        <w:trPr>
          <w:trHeight w:val="513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13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 xml:space="preserve">Доля пациентов с острым ишемическим инсультом, которым проведена </w:t>
            </w:r>
            <w:proofErr w:type="spellStart"/>
            <w:r w:rsidRPr="009E5154">
              <w:t>тромболитическая</w:t>
            </w:r>
            <w:proofErr w:type="spellEnd"/>
            <w:r w:rsidRPr="009E5154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5,5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6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6,5</w:t>
            </w:r>
          </w:p>
        </w:tc>
      </w:tr>
      <w:tr w:rsidR="009E5154" w:rsidRPr="009E5154" w:rsidTr="009E5154">
        <w:trPr>
          <w:trHeight w:val="399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14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15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14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13</w:t>
            </w:r>
          </w:p>
        </w:tc>
      </w:tr>
      <w:tr w:rsidR="009E5154" w:rsidRPr="009E5154" w:rsidTr="009E5154">
        <w:trPr>
          <w:trHeight w:val="45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15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8,5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8,6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8,7</w:t>
            </w:r>
          </w:p>
        </w:tc>
      </w:tr>
      <w:tr w:rsidR="009E5154" w:rsidRPr="009E5154" w:rsidTr="009E5154">
        <w:trPr>
          <w:trHeight w:val="313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16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(проценты)9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95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96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97</w:t>
            </w:r>
          </w:p>
        </w:tc>
      </w:tr>
      <w:tr w:rsidR="009E5154" w:rsidRPr="009E5154" w:rsidTr="009E5154">
        <w:trPr>
          <w:trHeight w:val="45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17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100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100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100</w:t>
            </w:r>
          </w:p>
        </w:tc>
      </w:tr>
      <w:tr w:rsidR="009E5154" w:rsidRPr="009E5154" w:rsidTr="009E5154">
        <w:trPr>
          <w:trHeight w:val="5040"/>
        </w:trPr>
        <w:tc>
          <w:tcPr>
            <w:tcW w:w="1896" w:type="dxa"/>
            <w:hideMark/>
          </w:tcPr>
          <w:p w:rsidR="009E5154" w:rsidRPr="009E5154" w:rsidRDefault="009E5154" w:rsidP="009E5154">
            <w:pPr>
              <w:rPr>
                <w:b/>
                <w:bCs/>
              </w:rPr>
            </w:pPr>
            <w:r w:rsidRPr="009E5154">
              <w:rPr>
                <w:b/>
                <w:bCs/>
              </w:rPr>
              <w:t>Критерии доступности медицинской помощи</w:t>
            </w:r>
          </w:p>
        </w:tc>
        <w:tc>
          <w:tcPr>
            <w:tcW w:w="2493" w:type="dxa"/>
            <w:noWrap/>
            <w:hideMark/>
          </w:tcPr>
          <w:p w:rsidR="009E5154" w:rsidRPr="009E5154" w:rsidRDefault="009E5154">
            <w:r w:rsidRPr="009E5154">
              <w:t> </w:t>
            </w:r>
          </w:p>
        </w:tc>
        <w:tc>
          <w:tcPr>
            <w:tcW w:w="1338" w:type="dxa"/>
            <w:noWrap/>
            <w:hideMark/>
          </w:tcPr>
          <w:p w:rsidR="009E5154" w:rsidRPr="009E5154" w:rsidRDefault="009E5154">
            <w:r w:rsidRPr="009E5154">
              <w:t> </w:t>
            </w:r>
          </w:p>
        </w:tc>
        <w:tc>
          <w:tcPr>
            <w:tcW w:w="1066" w:type="dxa"/>
            <w:noWrap/>
            <w:hideMark/>
          </w:tcPr>
          <w:p w:rsidR="009E5154" w:rsidRPr="009E5154" w:rsidRDefault="009E5154">
            <w:r w:rsidRPr="009E5154">
              <w:t> </w:t>
            </w:r>
          </w:p>
        </w:tc>
        <w:tc>
          <w:tcPr>
            <w:tcW w:w="987" w:type="dxa"/>
            <w:noWrap/>
            <w:hideMark/>
          </w:tcPr>
          <w:p w:rsidR="009E5154" w:rsidRPr="009E5154" w:rsidRDefault="009E5154">
            <w:r w:rsidRPr="009E5154">
              <w:t> </w:t>
            </w:r>
          </w:p>
        </w:tc>
      </w:tr>
      <w:tr w:rsidR="009E5154" w:rsidRPr="009E5154" w:rsidTr="009E5154">
        <w:trPr>
          <w:trHeight w:val="219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№</w:t>
            </w:r>
          </w:p>
        </w:tc>
        <w:tc>
          <w:tcPr>
            <w:tcW w:w="2493" w:type="dxa"/>
            <w:vMerge w:val="restart"/>
            <w:hideMark/>
          </w:tcPr>
          <w:p w:rsidR="009E5154" w:rsidRPr="009E5154" w:rsidRDefault="009E5154" w:rsidP="009E5154">
            <w:r w:rsidRPr="009E5154">
              <w:t>Наименование критериев доступности медицинской помощи</w:t>
            </w:r>
          </w:p>
        </w:tc>
        <w:tc>
          <w:tcPr>
            <w:tcW w:w="1338" w:type="dxa"/>
            <w:vMerge w:val="restart"/>
            <w:hideMark/>
          </w:tcPr>
          <w:p w:rsidR="009E5154" w:rsidRPr="009E5154" w:rsidRDefault="009E5154" w:rsidP="009E5154">
            <w:r w:rsidRPr="009E5154">
              <w:t>2021 год</w:t>
            </w:r>
          </w:p>
        </w:tc>
        <w:tc>
          <w:tcPr>
            <w:tcW w:w="1066" w:type="dxa"/>
            <w:vMerge w:val="restart"/>
            <w:hideMark/>
          </w:tcPr>
          <w:p w:rsidR="009E5154" w:rsidRPr="009E5154" w:rsidRDefault="009E5154" w:rsidP="009E5154">
            <w:r w:rsidRPr="009E5154">
              <w:t>2022 год</w:t>
            </w:r>
          </w:p>
        </w:tc>
        <w:tc>
          <w:tcPr>
            <w:tcW w:w="987" w:type="dxa"/>
            <w:vMerge w:val="restart"/>
            <w:hideMark/>
          </w:tcPr>
          <w:p w:rsidR="009E5154" w:rsidRPr="009E5154" w:rsidRDefault="009E5154" w:rsidP="009E5154">
            <w:r w:rsidRPr="009E5154">
              <w:t>2023 год</w:t>
            </w:r>
          </w:p>
        </w:tc>
      </w:tr>
      <w:tr w:rsidR="009E5154" w:rsidRPr="009E5154" w:rsidTr="009E5154">
        <w:trPr>
          <w:trHeight w:val="3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п/п</w:t>
            </w:r>
          </w:p>
        </w:tc>
        <w:tc>
          <w:tcPr>
            <w:tcW w:w="2493" w:type="dxa"/>
            <w:vMerge/>
            <w:hideMark/>
          </w:tcPr>
          <w:p w:rsidR="009E5154" w:rsidRPr="009E5154" w:rsidRDefault="009E5154"/>
        </w:tc>
        <w:tc>
          <w:tcPr>
            <w:tcW w:w="1338" w:type="dxa"/>
            <w:vMerge/>
            <w:hideMark/>
          </w:tcPr>
          <w:p w:rsidR="009E5154" w:rsidRPr="009E5154" w:rsidRDefault="009E5154"/>
        </w:tc>
        <w:tc>
          <w:tcPr>
            <w:tcW w:w="1066" w:type="dxa"/>
            <w:vMerge/>
            <w:hideMark/>
          </w:tcPr>
          <w:p w:rsidR="009E5154" w:rsidRPr="009E5154" w:rsidRDefault="009E5154"/>
        </w:tc>
        <w:tc>
          <w:tcPr>
            <w:tcW w:w="987" w:type="dxa"/>
            <w:vMerge/>
            <w:hideMark/>
          </w:tcPr>
          <w:p w:rsidR="009E5154" w:rsidRPr="009E5154" w:rsidRDefault="009E5154"/>
        </w:tc>
      </w:tr>
      <w:tr w:rsidR="009E5154" w:rsidRPr="009E5154" w:rsidTr="009E5154">
        <w:trPr>
          <w:trHeight w:val="30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1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2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3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4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5</w:t>
            </w:r>
          </w:p>
        </w:tc>
      </w:tr>
      <w:tr w:rsidR="009E5154" w:rsidRPr="009E5154" w:rsidTr="009E5154">
        <w:trPr>
          <w:trHeight w:val="313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1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6,2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6,3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6,3</w:t>
            </w:r>
          </w:p>
        </w:tc>
      </w:tr>
      <w:tr w:rsidR="009E5154" w:rsidRPr="009E5154" w:rsidTr="009E5154">
        <w:trPr>
          <w:trHeight w:val="342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2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1,5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1,5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1,5</w:t>
            </w:r>
          </w:p>
        </w:tc>
      </w:tr>
      <w:tr w:rsidR="009E5154" w:rsidRPr="009E5154" w:rsidTr="009E5154">
        <w:trPr>
          <w:trHeight w:val="684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3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6,1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6,1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6,1</w:t>
            </w:r>
          </w:p>
        </w:tc>
      </w:tr>
      <w:tr w:rsidR="009E5154" w:rsidRPr="009E5154" w:rsidTr="009E5154">
        <w:trPr>
          <w:trHeight w:val="45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4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100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100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100</w:t>
            </w:r>
          </w:p>
        </w:tc>
      </w:tr>
      <w:tr w:rsidR="009E5154" w:rsidRPr="009E5154" w:rsidTr="009E5154">
        <w:trPr>
          <w:trHeight w:val="4560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t>5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200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500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600</w:t>
            </w:r>
          </w:p>
        </w:tc>
      </w:tr>
      <w:tr w:rsidR="009E5154" w:rsidRPr="009E5154" w:rsidTr="009E5154">
        <w:trPr>
          <w:trHeight w:val="5415"/>
        </w:trPr>
        <w:tc>
          <w:tcPr>
            <w:tcW w:w="1896" w:type="dxa"/>
            <w:hideMark/>
          </w:tcPr>
          <w:p w:rsidR="009E5154" w:rsidRPr="009E5154" w:rsidRDefault="009E5154" w:rsidP="009E5154">
            <w:r w:rsidRPr="009E5154">
              <w:lastRenderedPageBreak/>
              <w:t>6</w:t>
            </w:r>
          </w:p>
        </w:tc>
        <w:tc>
          <w:tcPr>
            <w:tcW w:w="2493" w:type="dxa"/>
            <w:hideMark/>
          </w:tcPr>
          <w:p w:rsidR="009E5154" w:rsidRPr="009E5154" w:rsidRDefault="009E5154" w:rsidP="009E5154">
            <w:r w:rsidRPr="009E5154"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38" w:type="dxa"/>
            <w:hideMark/>
          </w:tcPr>
          <w:p w:rsidR="009E5154" w:rsidRPr="009E5154" w:rsidRDefault="009E5154" w:rsidP="009E5154">
            <w:r w:rsidRPr="009E5154">
              <w:t>0</w:t>
            </w:r>
          </w:p>
        </w:tc>
        <w:tc>
          <w:tcPr>
            <w:tcW w:w="1066" w:type="dxa"/>
            <w:hideMark/>
          </w:tcPr>
          <w:p w:rsidR="009E5154" w:rsidRPr="009E5154" w:rsidRDefault="009E5154" w:rsidP="009E5154">
            <w:r w:rsidRPr="009E5154">
              <w:t>0</w:t>
            </w:r>
          </w:p>
        </w:tc>
        <w:tc>
          <w:tcPr>
            <w:tcW w:w="987" w:type="dxa"/>
            <w:hideMark/>
          </w:tcPr>
          <w:p w:rsidR="009E5154" w:rsidRPr="009E5154" w:rsidRDefault="009E5154" w:rsidP="009E5154">
            <w:r w:rsidRPr="009E5154">
              <w:t>0</w:t>
            </w:r>
          </w:p>
        </w:tc>
      </w:tr>
    </w:tbl>
    <w:p w:rsidR="00D42945" w:rsidRDefault="00D42945"/>
    <w:sectPr w:rsidR="00D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54"/>
    <w:rsid w:val="009E5154"/>
    <w:rsid w:val="00D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6DA0B6-616C-40B3-9236-92D140F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Kuzina</dc:creator>
  <cp:keywords/>
  <dc:description/>
  <cp:lastModifiedBy>Mariya Kuzina</cp:lastModifiedBy>
  <cp:revision>1</cp:revision>
  <dcterms:created xsi:type="dcterms:W3CDTF">2021-04-28T09:07:00Z</dcterms:created>
  <dcterms:modified xsi:type="dcterms:W3CDTF">2021-04-28T09:10:00Z</dcterms:modified>
</cp:coreProperties>
</file>