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5" w:rsidRPr="00952299" w:rsidRDefault="00B35C35" w:rsidP="00B35C35">
      <w:pPr>
        <w:jc w:val="center"/>
        <w:rPr>
          <w:rFonts w:ascii="Arial" w:hAnsi="Arial" w:cs="Arial"/>
          <w:sz w:val="24"/>
          <w:szCs w:val="24"/>
        </w:rPr>
      </w:pPr>
      <w:r w:rsidRPr="00952299">
        <w:rPr>
          <w:rFonts w:ascii="Arial" w:hAnsi="Arial" w:cs="Arial"/>
          <w:sz w:val="24"/>
          <w:szCs w:val="24"/>
        </w:rPr>
        <w:t>Критерии качества медицинской помощи</w:t>
      </w:r>
    </w:p>
    <w:tbl>
      <w:tblPr>
        <w:tblStyle w:val="a3"/>
        <w:tblW w:w="0" w:type="auto"/>
        <w:tblLook w:val="04A0"/>
      </w:tblPr>
      <w:tblGrid>
        <w:gridCol w:w="1155"/>
        <w:gridCol w:w="2912"/>
        <w:gridCol w:w="1916"/>
        <w:gridCol w:w="1794"/>
        <w:gridCol w:w="1794"/>
      </w:tblGrid>
      <w:tr w:rsidR="004B012E" w:rsidRPr="00277204" w:rsidTr="004B012E">
        <w:tc>
          <w:tcPr>
            <w:tcW w:w="1155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№ п.п.</w:t>
            </w:r>
          </w:p>
        </w:tc>
        <w:tc>
          <w:tcPr>
            <w:tcW w:w="2912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Наименование критериев качества медицинской помощи </w:t>
            </w:r>
          </w:p>
        </w:tc>
        <w:tc>
          <w:tcPr>
            <w:tcW w:w="1916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2020 год</w:t>
            </w:r>
          </w:p>
        </w:tc>
        <w:tc>
          <w:tcPr>
            <w:tcW w:w="1794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2021 год</w:t>
            </w:r>
          </w:p>
        </w:tc>
        <w:tc>
          <w:tcPr>
            <w:tcW w:w="1794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2022 год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1.</w:t>
            </w:r>
          </w:p>
        </w:tc>
        <w:tc>
          <w:tcPr>
            <w:tcW w:w="2912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Удовлетворенность населения медицинской помощью (проценты от числа </w:t>
            </w:r>
            <w:proofErr w:type="gramStart"/>
            <w:r w:rsidRPr="00277204">
              <w:rPr>
                <w:rFonts w:ascii="Arial" w:hAnsi="Arial" w:cs="Arial"/>
              </w:rPr>
              <w:t>опрошенных</w:t>
            </w:r>
            <w:proofErr w:type="gramEnd"/>
            <w:r w:rsidRPr="00277204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16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76,0</w:t>
            </w:r>
          </w:p>
        </w:tc>
        <w:tc>
          <w:tcPr>
            <w:tcW w:w="1794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77,0</w:t>
            </w:r>
          </w:p>
        </w:tc>
        <w:tc>
          <w:tcPr>
            <w:tcW w:w="1794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78,0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2.</w:t>
            </w:r>
          </w:p>
        </w:tc>
        <w:tc>
          <w:tcPr>
            <w:tcW w:w="2912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1916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304,0</w:t>
            </w:r>
          </w:p>
        </w:tc>
        <w:tc>
          <w:tcPr>
            <w:tcW w:w="1794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304,0</w:t>
            </w:r>
          </w:p>
        </w:tc>
        <w:tc>
          <w:tcPr>
            <w:tcW w:w="1794" w:type="dxa"/>
          </w:tcPr>
          <w:p w:rsidR="004B012E" w:rsidRPr="00277204" w:rsidRDefault="004B012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304,0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F0614B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3.</w:t>
            </w:r>
          </w:p>
        </w:tc>
        <w:tc>
          <w:tcPr>
            <w:tcW w:w="2912" w:type="dxa"/>
          </w:tcPr>
          <w:p w:rsidR="004B012E" w:rsidRPr="00277204" w:rsidRDefault="00F0614B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</w:t>
            </w:r>
            <w:proofErr w:type="gramStart"/>
            <w:r w:rsidRPr="00277204">
              <w:rPr>
                <w:rFonts w:ascii="Arial" w:hAnsi="Arial" w:cs="Arial"/>
              </w:rPr>
              <w:t>умерших</w:t>
            </w:r>
            <w:proofErr w:type="gramEnd"/>
            <w:r w:rsidRPr="00277204">
              <w:rPr>
                <w:rFonts w:ascii="Arial" w:hAnsi="Arial" w:cs="Arial"/>
              </w:rPr>
              <w:t xml:space="preserve"> в трудоспособном возрасте на дому в общем количестве умерших в трудоспособном возрасте</w:t>
            </w:r>
            <w:r w:rsidR="00315A8F" w:rsidRPr="00277204">
              <w:rPr>
                <w:rFonts w:ascii="Arial" w:hAnsi="Arial" w:cs="Arial"/>
              </w:rPr>
              <w:t xml:space="preserve"> (проценты)</w:t>
            </w:r>
          </w:p>
        </w:tc>
        <w:tc>
          <w:tcPr>
            <w:tcW w:w="1916" w:type="dxa"/>
          </w:tcPr>
          <w:p w:rsidR="004B012E" w:rsidRPr="00277204" w:rsidRDefault="00F0614B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34,0</w:t>
            </w:r>
          </w:p>
        </w:tc>
        <w:tc>
          <w:tcPr>
            <w:tcW w:w="1794" w:type="dxa"/>
          </w:tcPr>
          <w:p w:rsidR="004B012E" w:rsidRPr="00277204" w:rsidRDefault="00F0614B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33,0</w:t>
            </w:r>
          </w:p>
        </w:tc>
        <w:tc>
          <w:tcPr>
            <w:tcW w:w="1794" w:type="dxa"/>
          </w:tcPr>
          <w:p w:rsidR="004B012E" w:rsidRPr="00277204" w:rsidRDefault="00F0614B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33,0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0B6F38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4.</w:t>
            </w:r>
          </w:p>
        </w:tc>
        <w:tc>
          <w:tcPr>
            <w:tcW w:w="2912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Материнская смертность (на 100 тыс. человек, родившихся живыми)</w:t>
            </w:r>
          </w:p>
        </w:tc>
        <w:tc>
          <w:tcPr>
            <w:tcW w:w="1916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10,5</w:t>
            </w:r>
          </w:p>
        </w:tc>
        <w:tc>
          <w:tcPr>
            <w:tcW w:w="1794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10,4</w:t>
            </w:r>
          </w:p>
        </w:tc>
        <w:tc>
          <w:tcPr>
            <w:tcW w:w="1794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10,4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5.</w:t>
            </w:r>
          </w:p>
        </w:tc>
        <w:tc>
          <w:tcPr>
            <w:tcW w:w="2912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Младенческая смертность (на 1 тыс. человек, родившихся живыми)</w:t>
            </w:r>
          </w:p>
        </w:tc>
        <w:tc>
          <w:tcPr>
            <w:tcW w:w="1916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5,3</w:t>
            </w:r>
          </w:p>
        </w:tc>
        <w:tc>
          <w:tcPr>
            <w:tcW w:w="1794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5,2</w:t>
            </w:r>
          </w:p>
        </w:tc>
        <w:tc>
          <w:tcPr>
            <w:tcW w:w="1794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5,1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315A8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6.</w:t>
            </w:r>
          </w:p>
        </w:tc>
        <w:tc>
          <w:tcPr>
            <w:tcW w:w="2912" w:type="dxa"/>
          </w:tcPr>
          <w:p w:rsidR="004B012E" w:rsidRPr="00277204" w:rsidRDefault="00DC5ED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</w:t>
            </w:r>
            <w:proofErr w:type="gramStart"/>
            <w:r w:rsidRPr="00277204">
              <w:rPr>
                <w:rFonts w:ascii="Arial" w:hAnsi="Arial" w:cs="Arial"/>
              </w:rPr>
              <w:t>умерших</w:t>
            </w:r>
            <w:proofErr w:type="gramEnd"/>
            <w:r w:rsidRPr="00277204">
              <w:rPr>
                <w:rFonts w:ascii="Arial" w:hAnsi="Arial" w:cs="Arial"/>
              </w:rPr>
              <w:t xml:space="preserve"> в возрасте до 1 года на дому в общем количестве умерших в возрасте до 1 года (проценты)</w:t>
            </w:r>
          </w:p>
        </w:tc>
        <w:tc>
          <w:tcPr>
            <w:tcW w:w="1916" w:type="dxa"/>
          </w:tcPr>
          <w:p w:rsidR="004B012E" w:rsidRPr="00277204" w:rsidRDefault="00DC5ED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5,7</w:t>
            </w:r>
          </w:p>
        </w:tc>
        <w:tc>
          <w:tcPr>
            <w:tcW w:w="1794" w:type="dxa"/>
          </w:tcPr>
          <w:p w:rsidR="004B012E" w:rsidRPr="00277204" w:rsidRDefault="00DC5ED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5,6</w:t>
            </w:r>
          </w:p>
        </w:tc>
        <w:tc>
          <w:tcPr>
            <w:tcW w:w="1794" w:type="dxa"/>
          </w:tcPr>
          <w:p w:rsidR="004B012E" w:rsidRPr="00277204" w:rsidRDefault="00DC5ED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5,5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39615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7.</w:t>
            </w:r>
          </w:p>
        </w:tc>
        <w:tc>
          <w:tcPr>
            <w:tcW w:w="2912" w:type="dxa"/>
          </w:tcPr>
          <w:p w:rsidR="004B012E" w:rsidRPr="00277204" w:rsidRDefault="0039615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Смертность детей в возрасте 0-4 лет (на 1 тыс. родившихся живыми)</w:t>
            </w:r>
          </w:p>
        </w:tc>
        <w:tc>
          <w:tcPr>
            <w:tcW w:w="1916" w:type="dxa"/>
          </w:tcPr>
          <w:p w:rsidR="004B012E" w:rsidRPr="00277204" w:rsidRDefault="0039615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6,8</w:t>
            </w:r>
          </w:p>
        </w:tc>
        <w:tc>
          <w:tcPr>
            <w:tcW w:w="1794" w:type="dxa"/>
          </w:tcPr>
          <w:p w:rsidR="004B012E" w:rsidRPr="00277204" w:rsidRDefault="0039615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6,5</w:t>
            </w:r>
          </w:p>
        </w:tc>
        <w:tc>
          <w:tcPr>
            <w:tcW w:w="1794" w:type="dxa"/>
          </w:tcPr>
          <w:p w:rsidR="004B012E" w:rsidRPr="00277204" w:rsidRDefault="0039615A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6,4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B97238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8.</w:t>
            </w:r>
          </w:p>
        </w:tc>
        <w:tc>
          <w:tcPr>
            <w:tcW w:w="2912" w:type="dxa"/>
          </w:tcPr>
          <w:p w:rsidR="00B97238" w:rsidRPr="00277204" w:rsidRDefault="00B97238" w:rsidP="00B97238">
            <w:pPr>
              <w:rPr>
                <w:rFonts w:ascii="Arial" w:hAnsi="Arial" w:cs="Arial"/>
              </w:rPr>
            </w:pPr>
            <w:proofErr w:type="gramStart"/>
            <w:r w:rsidRPr="00277204">
              <w:rPr>
                <w:rFonts w:ascii="Arial" w:hAnsi="Arial" w:cs="Arial"/>
              </w:rPr>
              <w:t>Смертность населения (число умерших</w:t>
            </w:r>
            <w:proofErr w:type="gramEnd"/>
          </w:p>
          <w:p w:rsidR="004B012E" w:rsidRPr="00277204" w:rsidRDefault="00B97238" w:rsidP="00B97238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на 1 тыс. человек населения)</w:t>
            </w:r>
          </w:p>
        </w:tc>
        <w:tc>
          <w:tcPr>
            <w:tcW w:w="1916" w:type="dxa"/>
          </w:tcPr>
          <w:p w:rsidR="004B012E" w:rsidRPr="00277204" w:rsidRDefault="00B97238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9,86</w:t>
            </w:r>
          </w:p>
        </w:tc>
        <w:tc>
          <w:tcPr>
            <w:tcW w:w="1794" w:type="dxa"/>
          </w:tcPr>
          <w:p w:rsidR="004B012E" w:rsidRPr="00277204" w:rsidRDefault="00B97238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9,84</w:t>
            </w:r>
          </w:p>
        </w:tc>
        <w:tc>
          <w:tcPr>
            <w:tcW w:w="1794" w:type="dxa"/>
          </w:tcPr>
          <w:p w:rsidR="004B012E" w:rsidRPr="00277204" w:rsidRDefault="00B97238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9,83</w:t>
            </w:r>
          </w:p>
        </w:tc>
      </w:tr>
      <w:tr w:rsidR="00442B0E" w:rsidRPr="00277204" w:rsidTr="004B012E">
        <w:tc>
          <w:tcPr>
            <w:tcW w:w="1155" w:type="dxa"/>
          </w:tcPr>
          <w:p w:rsidR="00442B0E" w:rsidRPr="00277204" w:rsidRDefault="00442B0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9.</w:t>
            </w:r>
          </w:p>
        </w:tc>
        <w:tc>
          <w:tcPr>
            <w:tcW w:w="2912" w:type="dxa"/>
          </w:tcPr>
          <w:p w:rsidR="00442B0E" w:rsidRPr="00277204" w:rsidRDefault="00442B0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умерших в возрасте 0-4 лет на дому в общем количестве умерших в возрасте 0-4 лет (проценты)</w:t>
            </w:r>
          </w:p>
        </w:tc>
        <w:tc>
          <w:tcPr>
            <w:tcW w:w="1916" w:type="dxa"/>
          </w:tcPr>
          <w:p w:rsidR="00442B0E" w:rsidRPr="00277204" w:rsidRDefault="00442B0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6,5</w:t>
            </w:r>
          </w:p>
        </w:tc>
        <w:tc>
          <w:tcPr>
            <w:tcW w:w="1794" w:type="dxa"/>
          </w:tcPr>
          <w:p w:rsidR="00442B0E" w:rsidRPr="00277204" w:rsidRDefault="00442B0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6,4</w:t>
            </w:r>
          </w:p>
        </w:tc>
        <w:tc>
          <w:tcPr>
            <w:tcW w:w="1794" w:type="dxa"/>
          </w:tcPr>
          <w:p w:rsidR="00442B0E" w:rsidRPr="00277204" w:rsidRDefault="00442B0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6,3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442B0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10.</w:t>
            </w:r>
          </w:p>
        </w:tc>
        <w:tc>
          <w:tcPr>
            <w:tcW w:w="2912" w:type="dxa"/>
          </w:tcPr>
          <w:p w:rsidR="004B012E" w:rsidRPr="00277204" w:rsidRDefault="00A511D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Смертность детей в возрасте 0-17 лет (на 100 тыс. детей соответствующего возраста)</w:t>
            </w:r>
          </w:p>
        </w:tc>
        <w:tc>
          <w:tcPr>
            <w:tcW w:w="1916" w:type="dxa"/>
          </w:tcPr>
          <w:p w:rsidR="004B012E" w:rsidRPr="00277204" w:rsidRDefault="00A511D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61,0</w:t>
            </w:r>
          </w:p>
        </w:tc>
        <w:tc>
          <w:tcPr>
            <w:tcW w:w="1794" w:type="dxa"/>
          </w:tcPr>
          <w:p w:rsidR="004B012E" w:rsidRPr="00277204" w:rsidRDefault="00A511D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60,0</w:t>
            </w:r>
          </w:p>
        </w:tc>
        <w:tc>
          <w:tcPr>
            <w:tcW w:w="1794" w:type="dxa"/>
          </w:tcPr>
          <w:p w:rsidR="004B012E" w:rsidRPr="00277204" w:rsidRDefault="00A511D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59,0</w:t>
            </w:r>
          </w:p>
        </w:tc>
      </w:tr>
      <w:tr w:rsidR="004B012E" w:rsidRPr="00277204" w:rsidTr="004B012E">
        <w:tc>
          <w:tcPr>
            <w:tcW w:w="1155" w:type="dxa"/>
          </w:tcPr>
          <w:p w:rsidR="004B012E" w:rsidRPr="00277204" w:rsidRDefault="0055071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11.</w:t>
            </w:r>
          </w:p>
        </w:tc>
        <w:tc>
          <w:tcPr>
            <w:tcW w:w="2912" w:type="dxa"/>
          </w:tcPr>
          <w:p w:rsidR="004B012E" w:rsidRPr="00277204" w:rsidRDefault="0055071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умерших в возрасте 0-17 лет на дому в общем количестве умерших в возрасте 0-17 лет (проценты)</w:t>
            </w:r>
          </w:p>
        </w:tc>
        <w:tc>
          <w:tcPr>
            <w:tcW w:w="1916" w:type="dxa"/>
          </w:tcPr>
          <w:p w:rsidR="004B012E" w:rsidRPr="00277204" w:rsidRDefault="0055071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9,4</w:t>
            </w:r>
          </w:p>
        </w:tc>
        <w:tc>
          <w:tcPr>
            <w:tcW w:w="1794" w:type="dxa"/>
          </w:tcPr>
          <w:p w:rsidR="004B012E" w:rsidRPr="00277204" w:rsidRDefault="0055071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9,4</w:t>
            </w:r>
          </w:p>
        </w:tc>
        <w:tc>
          <w:tcPr>
            <w:tcW w:w="1794" w:type="dxa"/>
          </w:tcPr>
          <w:p w:rsidR="004B012E" w:rsidRPr="00277204" w:rsidRDefault="0055071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9,4</w:t>
            </w:r>
          </w:p>
        </w:tc>
      </w:tr>
      <w:tr w:rsidR="00A511DE" w:rsidRPr="00277204" w:rsidTr="004B012E">
        <w:tc>
          <w:tcPr>
            <w:tcW w:w="1155" w:type="dxa"/>
          </w:tcPr>
          <w:p w:rsidR="00A511DE" w:rsidRPr="00277204" w:rsidRDefault="0055071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912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(проценты)</w:t>
            </w:r>
          </w:p>
        </w:tc>
        <w:tc>
          <w:tcPr>
            <w:tcW w:w="1916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19,9</w:t>
            </w:r>
          </w:p>
        </w:tc>
        <w:tc>
          <w:tcPr>
            <w:tcW w:w="1794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19,9</w:t>
            </w:r>
          </w:p>
        </w:tc>
        <w:tc>
          <w:tcPr>
            <w:tcW w:w="1794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19,9</w:t>
            </w:r>
          </w:p>
        </w:tc>
      </w:tr>
      <w:tr w:rsidR="00A511DE" w:rsidRPr="00277204" w:rsidTr="004B012E">
        <w:tc>
          <w:tcPr>
            <w:tcW w:w="1155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13.</w:t>
            </w:r>
          </w:p>
        </w:tc>
        <w:tc>
          <w:tcPr>
            <w:tcW w:w="2912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(проценты)</w:t>
            </w:r>
          </w:p>
        </w:tc>
        <w:tc>
          <w:tcPr>
            <w:tcW w:w="1916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2,1</w:t>
            </w:r>
          </w:p>
        </w:tc>
        <w:tc>
          <w:tcPr>
            <w:tcW w:w="1794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2,2</w:t>
            </w:r>
          </w:p>
        </w:tc>
        <w:tc>
          <w:tcPr>
            <w:tcW w:w="1794" w:type="dxa"/>
          </w:tcPr>
          <w:p w:rsidR="00A511DE" w:rsidRPr="00277204" w:rsidRDefault="00F3729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2,3</w:t>
            </w:r>
          </w:p>
        </w:tc>
      </w:tr>
      <w:tr w:rsidR="00A511DE" w:rsidRPr="00277204" w:rsidTr="004B012E">
        <w:tc>
          <w:tcPr>
            <w:tcW w:w="1155" w:type="dxa"/>
          </w:tcPr>
          <w:p w:rsidR="00A511DE" w:rsidRPr="00277204" w:rsidRDefault="00AD66D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14.</w:t>
            </w:r>
          </w:p>
        </w:tc>
        <w:tc>
          <w:tcPr>
            <w:tcW w:w="2912" w:type="dxa"/>
          </w:tcPr>
          <w:p w:rsidR="00A511DE" w:rsidRPr="00277204" w:rsidRDefault="00AD66D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со злокачественными новообразованиями, находящихся под диспансерным наблюдением </w:t>
            </w:r>
            <w:proofErr w:type="gramStart"/>
            <w:r w:rsidRPr="00277204">
              <w:rPr>
                <w:rFonts w:ascii="Arial" w:hAnsi="Arial" w:cs="Arial"/>
              </w:rPr>
              <w:t>с даты установления</w:t>
            </w:r>
            <w:proofErr w:type="gramEnd"/>
            <w:r w:rsidRPr="00277204">
              <w:rPr>
                <w:rFonts w:ascii="Arial" w:hAnsi="Arial" w:cs="Arial"/>
              </w:rPr>
              <w:t xml:space="preserve"> диагноза 5 лет и более, в общем числе пациентов со злокачественными новообразованиями, находящихся под диспансерным наблюдением (проценты)</w:t>
            </w:r>
          </w:p>
        </w:tc>
        <w:tc>
          <w:tcPr>
            <w:tcW w:w="1916" w:type="dxa"/>
          </w:tcPr>
          <w:p w:rsidR="00A511DE" w:rsidRPr="00277204" w:rsidRDefault="00AD66D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56,9</w:t>
            </w:r>
          </w:p>
        </w:tc>
        <w:tc>
          <w:tcPr>
            <w:tcW w:w="1794" w:type="dxa"/>
          </w:tcPr>
          <w:p w:rsidR="00A511DE" w:rsidRPr="00277204" w:rsidRDefault="00AD66D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57,8</w:t>
            </w:r>
          </w:p>
        </w:tc>
        <w:tc>
          <w:tcPr>
            <w:tcW w:w="1794" w:type="dxa"/>
          </w:tcPr>
          <w:p w:rsidR="00A511DE" w:rsidRPr="00277204" w:rsidRDefault="00AD66D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58,7</w:t>
            </w:r>
          </w:p>
        </w:tc>
      </w:tr>
      <w:tr w:rsidR="00F37295" w:rsidRPr="00277204" w:rsidTr="004B012E">
        <w:tc>
          <w:tcPr>
            <w:tcW w:w="1155" w:type="dxa"/>
          </w:tcPr>
          <w:p w:rsidR="00F37295" w:rsidRPr="00277204" w:rsidRDefault="0052274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15.</w:t>
            </w:r>
          </w:p>
        </w:tc>
        <w:tc>
          <w:tcPr>
            <w:tcW w:w="2912" w:type="dxa"/>
          </w:tcPr>
          <w:p w:rsidR="00F37295" w:rsidRPr="00277204" w:rsidRDefault="0052274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(проценты)</w:t>
            </w:r>
          </w:p>
        </w:tc>
        <w:tc>
          <w:tcPr>
            <w:tcW w:w="1916" w:type="dxa"/>
          </w:tcPr>
          <w:p w:rsidR="00F37295" w:rsidRPr="00277204" w:rsidRDefault="0052274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62,0</w:t>
            </w:r>
          </w:p>
        </w:tc>
        <w:tc>
          <w:tcPr>
            <w:tcW w:w="1794" w:type="dxa"/>
          </w:tcPr>
          <w:p w:rsidR="00F37295" w:rsidRPr="00277204" w:rsidRDefault="0052274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62,3</w:t>
            </w:r>
          </w:p>
        </w:tc>
        <w:tc>
          <w:tcPr>
            <w:tcW w:w="1794" w:type="dxa"/>
          </w:tcPr>
          <w:p w:rsidR="00F37295" w:rsidRPr="00277204" w:rsidRDefault="0052274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62,5</w:t>
            </w:r>
          </w:p>
        </w:tc>
      </w:tr>
      <w:tr w:rsidR="00F37295" w:rsidRPr="00277204" w:rsidTr="004B012E">
        <w:tc>
          <w:tcPr>
            <w:tcW w:w="1155" w:type="dxa"/>
          </w:tcPr>
          <w:p w:rsidR="00F37295" w:rsidRPr="00277204" w:rsidRDefault="0052274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16.</w:t>
            </w:r>
          </w:p>
        </w:tc>
        <w:tc>
          <w:tcPr>
            <w:tcW w:w="2912" w:type="dxa"/>
          </w:tcPr>
          <w:p w:rsidR="00F37295" w:rsidRPr="00277204" w:rsidRDefault="008F385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</w:t>
            </w:r>
            <w:r w:rsidRPr="00277204">
              <w:rPr>
                <w:rFonts w:ascii="Arial" w:hAnsi="Arial" w:cs="Arial"/>
              </w:rPr>
              <w:lastRenderedPageBreak/>
              <w:t>новообразованиями, взятыми под диспансерное наблюдение (проценты)</w:t>
            </w:r>
          </w:p>
        </w:tc>
        <w:tc>
          <w:tcPr>
            <w:tcW w:w="1916" w:type="dxa"/>
          </w:tcPr>
          <w:p w:rsidR="00F37295" w:rsidRPr="00277204" w:rsidRDefault="008F385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27,2</w:t>
            </w:r>
          </w:p>
        </w:tc>
        <w:tc>
          <w:tcPr>
            <w:tcW w:w="1794" w:type="dxa"/>
          </w:tcPr>
          <w:p w:rsidR="00F37295" w:rsidRPr="00277204" w:rsidRDefault="008F385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27,4</w:t>
            </w:r>
          </w:p>
        </w:tc>
        <w:tc>
          <w:tcPr>
            <w:tcW w:w="1794" w:type="dxa"/>
          </w:tcPr>
          <w:p w:rsidR="00F37295" w:rsidRPr="00277204" w:rsidRDefault="008F385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27,6</w:t>
            </w:r>
          </w:p>
        </w:tc>
      </w:tr>
      <w:tr w:rsidR="00522746" w:rsidRPr="00277204" w:rsidTr="004B012E">
        <w:tc>
          <w:tcPr>
            <w:tcW w:w="1155" w:type="dxa"/>
          </w:tcPr>
          <w:p w:rsidR="00522746" w:rsidRPr="00277204" w:rsidRDefault="008F385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17.</w:t>
            </w:r>
          </w:p>
        </w:tc>
        <w:tc>
          <w:tcPr>
            <w:tcW w:w="2912" w:type="dxa"/>
          </w:tcPr>
          <w:p w:rsidR="00522746" w:rsidRPr="00277204" w:rsidRDefault="00913E72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 (проценты)</w:t>
            </w:r>
          </w:p>
        </w:tc>
        <w:tc>
          <w:tcPr>
            <w:tcW w:w="1916" w:type="dxa"/>
          </w:tcPr>
          <w:p w:rsidR="00522746" w:rsidRPr="00277204" w:rsidRDefault="00913E72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56,0</w:t>
            </w:r>
          </w:p>
        </w:tc>
        <w:tc>
          <w:tcPr>
            <w:tcW w:w="1794" w:type="dxa"/>
          </w:tcPr>
          <w:p w:rsidR="00522746" w:rsidRPr="00277204" w:rsidRDefault="00913E72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57,0</w:t>
            </w:r>
          </w:p>
        </w:tc>
        <w:tc>
          <w:tcPr>
            <w:tcW w:w="1794" w:type="dxa"/>
          </w:tcPr>
          <w:p w:rsidR="00522746" w:rsidRPr="00277204" w:rsidRDefault="00913E72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58,0</w:t>
            </w:r>
          </w:p>
        </w:tc>
      </w:tr>
      <w:tr w:rsidR="00522746" w:rsidRPr="00277204" w:rsidTr="004B012E">
        <w:tc>
          <w:tcPr>
            <w:tcW w:w="1155" w:type="dxa"/>
          </w:tcPr>
          <w:p w:rsidR="00522746" w:rsidRPr="00277204" w:rsidRDefault="00913E72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18.</w:t>
            </w:r>
          </w:p>
        </w:tc>
        <w:tc>
          <w:tcPr>
            <w:tcW w:w="2912" w:type="dxa"/>
          </w:tcPr>
          <w:p w:rsidR="00522746" w:rsidRPr="00277204" w:rsidRDefault="00F3786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916" w:type="dxa"/>
          </w:tcPr>
          <w:p w:rsidR="00522746" w:rsidRPr="00277204" w:rsidRDefault="00F3786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0,8</w:t>
            </w:r>
          </w:p>
        </w:tc>
        <w:tc>
          <w:tcPr>
            <w:tcW w:w="1794" w:type="dxa"/>
          </w:tcPr>
          <w:p w:rsidR="00522746" w:rsidRPr="00277204" w:rsidRDefault="00F3786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0,8</w:t>
            </w:r>
          </w:p>
        </w:tc>
        <w:tc>
          <w:tcPr>
            <w:tcW w:w="1794" w:type="dxa"/>
          </w:tcPr>
          <w:p w:rsidR="00522746" w:rsidRPr="00277204" w:rsidRDefault="00F3786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0,8</w:t>
            </w:r>
          </w:p>
        </w:tc>
      </w:tr>
      <w:tr w:rsidR="00522746" w:rsidRPr="00277204" w:rsidTr="004B012E">
        <w:tc>
          <w:tcPr>
            <w:tcW w:w="1155" w:type="dxa"/>
          </w:tcPr>
          <w:p w:rsidR="00522746" w:rsidRPr="00277204" w:rsidRDefault="00F3786C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19.</w:t>
            </w:r>
          </w:p>
        </w:tc>
        <w:tc>
          <w:tcPr>
            <w:tcW w:w="2912" w:type="dxa"/>
          </w:tcPr>
          <w:p w:rsidR="00522746" w:rsidRPr="00277204" w:rsidRDefault="00FB0E2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инфарктом миокарда, госпитализированных </w:t>
            </w:r>
            <w:proofErr w:type="gramStart"/>
            <w:r w:rsidRPr="00277204">
              <w:rPr>
                <w:rFonts w:ascii="Arial" w:hAnsi="Arial" w:cs="Arial"/>
              </w:rPr>
              <w:t>в первые</w:t>
            </w:r>
            <w:proofErr w:type="gramEnd"/>
            <w:r w:rsidRPr="00277204">
              <w:rPr>
                <w:rFonts w:ascii="Arial" w:hAnsi="Arial" w:cs="Arial"/>
              </w:rPr>
              <w:t xml:space="preserve"> 12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916" w:type="dxa"/>
          </w:tcPr>
          <w:p w:rsidR="00522746" w:rsidRPr="00277204" w:rsidRDefault="00A70E4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70,0</w:t>
            </w:r>
          </w:p>
        </w:tc>
        <w:tc>
          <w:tcPr>
            <w:tcW w:w="1794" w:type="dxa"/>
          </w:tcPr>
          <w:p w:rsidR="00522746" w:rsidRPr="00277204" w:rsidRDefault="00A70E4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72,0</w:t>
            </w:r>
          </w:p>
        </w:tc>
        <w:tc>
          <w:tcPr>
            <w:tcW w:w="1794" w:type="dxa"/>
          </w:tcPr>
          <w:p w:rsidR="00522746" w:rsidRPr="00277204" w:rsidRDefault="00A70E4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73,0</w:t>
            </w:r>
          </w:p>
        </w:tc>
      </w:tr>
      <w:tr w:rsidR="00F37295" w:rsidRPr="00277204" w:rsidTr="004B012E">
        <w:tc>
          <w:tcPr>
            <w:tcW w:w="1155" w:type="dxa"/>
          </w:tcPr>
          <w:p w:rsidR="00F37295" w:rsidRPr="00277204" w:rsidRDefault="00A70E4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20.</w:t>
            </w:r>
          </w:p>
        </w:tc>
        <w:tc>
          <w:tcPr>
            <w:tcW w:w="2912" w:type="dxa"/>
          </w:tcPr>
          <w:p w:rsidR="00F37295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77204">
              <w:rPr>
                <w:rFonts w:ascii="Arial" w:hAnsi="Arial" w:cs="Arial"/>
              </w:rPr>
              <w:t>стентирование</w:t>
            </w:r>
            <w:proofErr w:type="spellEnd"/>
            <w:r w:rsidRPr="00277204">
              <w:rPr>
                <w:rFonts w:ascii="Arial" w:hAnsi="Arial" w:cs="Arial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(проценты)6</w:t>
            </w:r>
          </w:p>
        </w:tc>
        <w:tc>
          <w:tcPr>
            <w:tcW w:w="1916" w:type="dxa"/>
          </w:tcPr>
          <w:p w:rsidR="00F37295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80,0</w:t>
            </w:r>
          </w:p>
        </w:tc>
        <w:tc>
          <w:tcPr>
            <w:tcW w:w="1794" w:type="dxa"/>
          </w:tcPr>
          <w:p w:rsidR="00F37295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81,0</w:t>
            </w:r>
          </w:p>
        </w:tc>
        <w:tc>
          <w:tcPr>
            <w:tcW w:w="1794" w:type="dxa"/>
          </w:tcPr>
          <w:p w:rsidR="00F37295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83,0</w:t>
            </w:r>
          </w:p>
        </w:tc>
      </w:tr>
      <w:tr w:rsidR="00A511DE" w:rsidRPr="00277204" w:rsidTr="004B012E">
        <w:tc>
          <w:tcPr>
            <w:tcW w:w="1155" w:type="dxa"/>
          </w:tcPr>
          <w:p w:rsidR="00A511DE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21.</w:t>
            </w:r>
          </w:p>
        </w:tc>
        <w:tc>
          <w:tcPr>
            <w:tcW w:w="2912" w:type="dxa"/>
          </w:tcPr>
          <w:p w:rsidR="00A511DE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острым и повторным инфарктом миокарда, которым выездной бригадой </w:t>
            </w:r>
            <w:proofErr w:type="gramStart"/>
            <w:r w:rsidRPr="00277204">
              <w:rPr>
                <w:rFonts w:ascii="Arial" w:hAnsi="Arial" w:cs="Arial"/>
              </w:rPr>
              <w:t>проведен</w:t>
            </w:r>
            <w:proofErr w:type="gramEnd"/>
            <w:r w:rsidRPr="00277204">
              <w:rPr>
                <w:rFonts w:ascii="Arial" w:hAnsi="Arial" w:cs="Arial"/>
              </w:rPr>
              <w:t xml:space="preserve"> </w:t>
            </w:r>
            <w:proofErr w:type="spellStart"/>
            <w:r w:rsidRPr="00277204">
              <w:rPr>
                <w:rFonts w:ascii="Arial" w:hAnsi="Arial" w:cs="Arial"/>
              </w:rPr>
              <w:t>тромболизис</w:t>
            </w:r>
            <w:proofErr w:type="spellEnd"/>
            <w:r w:rsidRPr="00277204">
              <w:rPr>
                <w:rFonts w:ascii="Arial" w:hAnsi="Arial" w:cs="Arial"/>
              </w:rPr>
              <w:t xml:space="preserve"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</w:t>
            </w:r>
            <w:r w:rsidRPr="00277204">
              <w:rPr>
                <w:rFonts w:ascii="Arial" w:hAnsi="Arial" w:cs="Arial"/>
              </w:rPr>
              <w:lastRenderedPageBreak/>
              <w:t>(проценты)7</w:t>
            </w:r>
          </w:p>
        </w:tc>
        <w:tc>
          <w:tcPr>
            <w:tcW w:w="1916" w:type="dxa"/>
          </w:tcPr>
          <w:p w:rsidR="00A511DE" w:rsidRPr="00277204" w:rsidRDefault="0093344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97,0</w:t>
            </w:r>
          </w:p>
        </w:tc>
        <w:tc>
          <w:tcPr>
            <w:tcW w:w="1794" w:type="dxa"/>
          </w:tcPr>
          <w:p w:rsidR="00A511DE" w:rsidRPr="00277204" w:rsidRDefault="00F540A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99,0</w:t>
            </w:r>
          </w:p>
        </w:tc>
        <w:tc>
          <w:tcPr>
            <w:tcW w:w="1794" w:type="dxa"/>
          </w:tcPr>
          <w:p w:rsidR="00A511DE" w:rsidRPr="00277204" w:rsidRDefault="00F540A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99,0</w:t>
            </w:r>
          </w:p>
        </w:tc>
      </w:tr>
      <w:tr w:rsidR="00933441" w:rsidRPr="00277204" w:rsidTr="004B012E">
        <w:tc>
          <w:tcPr>
            <w:tcW w:w="1155" w:type="dxa"/>
          </w:tcPr>
          <w:p w:rsidR="00933441" w:rsidRPr="00277204" w:rsidRDefault="00F540A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2912" w:type="dxa"/>
          </w:tcPr>
          <w:p w:rsidR="00933441" w:rsidRPr="00277204" w:rsidRDefault="00F540A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77204">
              <w:rPr>
                <w:rFonts w:ascii="Arial" w:hAnsi="Arial" w:cs="Arial"/>
              </w:rPr>
              <w:t>тромболитическая</w:t>
            </w:r>
            <w:proofErr w:type="spellEnd"/>
            <w:r w:rsidRPr="00277204">
              <w:rPr>
                <w:rFonts w:ascii="Arial" w:hAnsi="Arial" w:cs="Arial"/>
              </w:rPr>
              <w:t xml:space="preserve"> терапия, в общем количестве пациентов с острым инфарктом миокарда, имеющих показания к ее проведению (проценты)7</w:t>
            </w:r>
          </w:p>
        </w:tc>
        <w:tc>
          <w:tcPr>
            <w:tcW w:w="1916" w:type="dxa"/>
          </w:tcPr>
          <w:p w:rsidR="00933441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97,0</w:t>
            </w:r>
          </w:p>
        </w:tc>
        <w:tc>
          <w:tcPr>
            <w:tcW w:w="1794" w:type="dxa"/>
          </w:tcPr>
          <w:p w:rsidR="00933441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99,0</w:t>
            </w:r>
          </w:p>
        </w:tc>
        <w:tc>
          <w:tcPr>
            <w:tcW w:w="1794" w:type="dxa"/>
          </w:tcPr>
          <w:p w:rsidR="00933441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99,0</w:t>
            </w:r>
          </w:p>
        </w:tc>
      </w:tr>
      <w:tr w:rsidR="00F540A4" w:rsidRPr="00277204" w:rsidTr="004B012E">
        <w:tc>
          <w:tcPr>
            <w:tcW w:w="1155" w:type="dxa"/>
          </w:tcPr>
          <w:p w:rsidR="00F540A4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23.</w:t>
            </w:r>
          </w:p>
        </w:tc>
        <w:tc>
          <w:tcPr>
            <w:tcW w:w="2912" w:type="dxa"/>
          </w:tcPr>
          <w:p w:rsidR="00F540A4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77204">
              <w:rPr>
                <w:rFonts w:ascii="Arial" w:hAnsi="Arial" w:cs="Arial"/>
              </w:rPr>
              <w:t>в первые</w:t>
            </w:r>
            <w:proofErr w:type="gramEnd"/>
            <w:r w:rsidRPr="00277204">
              <w:rPr>
                <w:rFonts w:ascii="Arial" w:hAnsi="Arial" w:cs="Arial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(проценты)</w:t>
            </w:r>
          </w:p>
        </w:tc>
        <w:tc>
          <w:tcPr>
            <w:tcW w:w="1916" w:type="dxa"/>
          </w:tcPr>
          <w:p w:rsidR="00F540A4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32,0</w:t>
            </w:r>
          </w:p>
        </w:tc>
        <w:tc>
          <w:tcPr>
            <w:tcW w:w="1794" w:type="dxa"/>
          </w:tcPr>
          <w:p w:rsidR="00F540A4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32,5</w:t>
            </w:r>
          </w:p>
        </w:tc>
        <w:tc>
          <w:tcPr>
            <w:tcW w:w="1794" w:type="dxa"/>
          </w:tcPr>
          <w:p w:rsidR="00F540A4" w:rsidRPr="00277204" w:rsidRDefault="005B13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32,8</w:t>
            </w:r>
          </w:p>
        </w:tc>
      </w:tr>
      <w:tr w:rsidR="00F540A4" w:rsidRPr="00277204" w:rsidTr="004B012E">
        <w:tc>
          <w:tcPr>
            <w:tcW w:w="1155" w:type="dxa"/>
          </w:tcPr>
          <w:p w:rsidR="00F540A4" w:rsidRPr="00277204" w:rsidRDefault="00CF10A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24</w:t>
            </w:r>
            <w:r w:rsidR="00377D4F" w:rsidRPr="00277204">
              <w:rPr>
                <w:rFonts w:ascii="Arial" w:hAnsi="Arial" w:cs="Arial"/>
              </w:rPr>
              <w:t>.</w:t>
            </w:r>
          </w:p>
        </w:tc>
        <w:tc>
          <w:tcPr>
            <w:tcW w:w="2912" w:type="dxa"/>
          </w:tcPr>
          <w:p w:rsidR="00F540A4" w:rsidRPr="00277204" w:rsidRDefault="00CF10A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77204">
              <w:rPr>
                <w:rFonts w:ascii="Arial" w:hAnsi="Arial" w:cs="Arial"/>
              </w:rPr>
              <w:t>тромболитическая</w:t>
            </w:r>
            <w:proofErr w:type="spellEnd"/>
            <w:r w:rsidRPr="00277204">
              <w:rPr>
                <w:rFonts w:ascii="Arial" w:hAnsi="Arial" w:cs="Arial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77204">
              <w:rPr>
                <w:rFonts w:ascii="Arial" w:hAnsi="Arial" w:cs="Arial"/>
              </w:rPr>
              <w:t>в первые</w:t>
            </w:r>
            <w:proofErr w:type="gramEnd"/>
            <w:r w:rsidRPr="00277204">
              <w:rPr>
                <w:rFonts w:ascii="Arial" w:hAnsi="Arial" w:cs="Arial"/>
              </w:rPr>
              <w:t xml:space="preserve"> 6 часов от начала заболевания (проценты)7</w:t>
            </w:r>
          </w:p>
        </w:tc>
        <w:tc>
          <w:tcPr>
            <w:tcW w:w="1916" w:type="dxa"/>
          </w:tcPr>
          <w:p w:rsidR="00F540A4" w:rsidRPr="00277204" w:rsidRDefault="00CF10A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97,0</w:t>
            </w:r>
          </w:p>
        </w:tc>
        <w:tc>
          <w:tcPr>
            <w:tcW w:w="1794" w:type="dxa"/>
          </w:tcPr>
          <w:p w:rsidR="00F540A4" w:rsidRPr="00277204" w:rsidRDefault="00CF10A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97,5</w:t>
            </w:r>
          </w:p>
        </w:tc>
        <w:tc>
          <w:tcPr>
            <w:tcW w:w="1794" w:type="dxa"/>
          </w:tcPr>
          <w:p w:rsidR="00F540A4" w:rsidRPr="00277204" w:rsidRDefault="00CF10AE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97,5</w:t>
            </w:r>
          </w:p>
        </w:tc>
      </w:tr>
      <w:tr w:rsidR="00377D4F" w:rsidRPr="00277204" w:rsidTr="004B012E">
        <w:tc>
          <w:tcPr>
            <w:tcW w:w="1155" w:type="dxa"/>
          </w:tcPr>
          <w:p w:rsidR="00377D4F" w:rsidRPr="00277204" w:rsidRDefault="00377D4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25.</w:t>
            </w:r>
          </w:p>
        </w:tc>
        <w:tc>
          <w:tcPr>
            <w:tcW w:w="2912" w:type="dxa"/>
          </w:tcPr>
          <w:p w:rsidR="00377D4F" w:rsidRPr="00277204" w:rsidRDefault="00377D4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77204">
              <w:rPr>
                <w:rFonts w:ascii="Arial" w:hAnsi="Arial" w:cs="Arial"/>
              </w:rPr>
              <w:t>тромболитическая</w:t>
            </w:r>
            <w:proofErr w:type="spellEnd"/>
            <w:r w:rsidRPr="00277204">
              <w:rPr>
                <w:rFonts w:ascii="Arial" w:hAnsi="Arial" w:cs="Arial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(процент)</w:t>
            </w:r>
          </w:p>
        </w:tc>
        <w:tc>
          <w:tcPr>
            <w:tcW w:w="1916" w:type="dxa"/>
          </w:tcPr>
          <w:p w:rsidR="00377D4F" w:rsidRPr="00277204" w:rsidRDefault="00377D4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4,7</w:t>
            </w:r>
          </w:p>
        </w:tc>
        <w:tc>
          <w:tcPr>
            <w:tcW w:w="1794" w:type="dxa"/>
          </w:tcPr>
          <w:p w:rsidR="00377D4F" w:rsidRPr="00277204" w:rsidRDefault="00377D4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5,0</w:t>
            </w:r>
          </w:p>
        </w:tc>
        <w:tc>
          <w:tcPr>
            <w:tcW w:w="1794" w:type="dxa"/>
          </w:tcPr>
          <w:p w:rsidR="00377D4F" w:rsidRPr="00277204" w:rsidRDefault="00377D4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5,1</w:t>
            </w:r>
          </w:p>
        </w:tc>
      </w:tr>
      <w:tr w:rsidR="00377D4F" w:rsidRPr="00277204" w:rsidTr="004B012E">
        <w:tc>
          <w:tcPr>
            <w:tcW w:w="1155" w:type="dxa"/>
          </w:tcPr>
          <w:p w:rsidR="00377D4F" w:rsidRPr="00277204" w:rsidRDefault="00377D4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26.</w:t>
            </w:r>
          </w:p>
        </w:tc>
        <w:tc>
          <w:tcPr>
            <w:tcW w:w="2912" w:type="dxa"/>
          </w:tcPr>
          <w:p w:rsidR="00377D4F" w:rsidRPr="00277204" w:rsidRDefault="000D747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Количество </w:t>
            </w:r>
            <w:r w:rsidRPr="00277204">
              <w:rPr>
                <w:rFonts w:ascii="Arial" w:hAnsi="Arial" w:cs="Arial"/>
              </w:rPr>
              <w:lastRenderedPageBreak/>
              <w:t>обоснованных жалоб, в том числе на отказ в оказании медицинской помощи, предоставляемой в рамках Территориальной программы (процент)</w:t>
            </w:r>
          </w:p>
        </w:tc>
        <w:tc>
          <w:tcPr>
            <w:tcW w:w="1916" w:type="dxa"/>
          </w:tcPr>
          <w:p w:rsidR="00377D4F" w:rsidRPr="00277204" w:rsidRDefault="000D747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15,0</w:t>
            </w:r>
          </w:p>
        </w:tc>
        <w:tc>
          <w:tcPr>
            <w:tcW w:w="1794" w:type="dxa"/>
          </w:tcPr>
          <w:p w:rsidR="00377D4F" w:rsidRPr="00277204" w:rsidRDefault="000D747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15,0</w:t>
            </w:r>
          </w:p>
        </w:tc>
        <w:tc>
          <w:tcPr>
            <w:tcW w:w="1794" w:type="dxa"/>
          </w:tcPr>
          <w:p w:rsidR="00377D4F" w:rsidRPr="00277204" w:rsidRDefault="000D747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15,0</w:t>
            </w:r>
          </w:p>
        </w:tc>
      </w:tr>
      <w:tr w:rsidR="00377D4F" w:rsidRPr="00277204" w:rsidTr="004B012E">
        <w:tc>
          <w:tcPr>
            <w:tcW w:w="1155" w:type="dxa"/>
          </w:tcPr>
          <w:p w:rsidR="00377D4F" w:rsidRPr="00277204" w:rsidRDefault="000D7477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2912" w:type="dxa"/>
          </w:tcPr>
          <w:p w:rsidR="00377D4F" w:rsidRPr="00277204" w:rsidRDefault="008F7A6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(проценты)</w:t>
            </w:r>
          </w:p>
        </w:tc>
        <w:tc>
          <w:tcPr>
            <w:tcW w:w="1916" w:type="dxa"/>
          </w:tcPr>
          <w:p w:rsidR="00377D4F" w:rsidRPr="00277204" w:rsidRDefault="008F7A6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8,5</w:t>
            </w:r>
          </w:p>
        </w:tc>
        <w:tc>
          <w:tcPr>
            <w:tcW w:w="1794" w:type="dxa"/>
          </w:tcPr>
          <w:p w:rsidR="00377D4F" w:rsidRPr="00277204" w:rsidRDefault="008F7A6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8,6</w:t>
            </w:r>
          </w:p>
        </w:tc>
        <w:tc>
          <w:tcPr>
            <w:tcW w:w="1794" w:type="dxa"/>
          </w:tcPr>
          <w:p w:rsidR="00377D4F" w:rsidRPr="00277204" w:rsidRDefault="008F7A6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8,7</w:t>
            </w:r>
          </w:p>
        </w:tc>
      </w:tr>
      <w:tr w:rsidR="00933441" w:rsidRPr="00277204" w:rsidTr="004B012E">
        <w:tc>
          <w:tcPr>
            <w:tcW w:w="1155" w:type="dxa"/>
          </w:tcPr>
          <w:p w:rsidR="00933441" w:rsidRPr="00277204" w:rsidRDefault="008F7A65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28.</w:t>
            </w:r>
          </w:p>
        </w:tc>
        <w:tc>
          <w:tcPr>
            <w:tcW w:w="2912" w:type="dxa"/>
          </w:tcPr>
          <w:p w:rsidR="00933441" w:rsidRPr="00277204" w:rsidRDefault="00F5332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(проценты)9</w:t>
            </w:r>
          </w:p>
        </w:tc>
        <w:tc>
          <w:tcPr>
            <w:tcW w:w="1916" w:type="dxa"/>
          </w:tcPr>
          <w:p w:rsidR="00933441" w:rsidRPr="00277204" w:rsidRDefault="00F5332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98,5</w:t>
            </w:r>
          </w:p>
        </w:tc>
        <w:tc>
          <w:tcPr>
            <w:tcW w:w="1794" w:type="dxa"/>
          </w:tcPr>
          <w:p w:rsidR="00933441" w:rsidRPr="00277204" w:rsidRDefault="00F5332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98,6</w:t>
            </w:r>
          </w:p>
        </w:tc>
        <w:tc>
          <w:tcPr>
            <w:tcW w:w="1794" w:type="dxa"/>
          </w:tcPr>
          <w:p w:rsidR="00933441" w:rsidRPr="00277204" w:rsidRDefault="00F53326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98,7</w:t>
            </w:r>
          </w:p>
        </w:tc>
      </w:tr>
      <w:tr w:rsidR="008F7A65" w:rsidRPr="00277204" w:rsidTr="004B012E">
        <w:tc>
          <w:tcPr>
            <w:tcW w:w="1155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29.</w:t>
            </w:r>
          </w:p>
        </w:tc>
        <w:tc>
          <w:tcPr>
            <w:tcW w:w="2912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 (проценты)</w:t>
            </w:r>
          </w:p>
        </w:tc>
        <w:tc>
          <w:tcPr>
            <w:tcW w:w="1916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63</w:t>
            </w:r>
          </w:p>
        </w:tc>
        <w:tc>
          <w:tcPr>
            <w:tcW w:w="1794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66</w:t>
            </w:r>
          </w:p>
        </w:tc>
        <w:tc>
          <w:tcPr>
            <w:tcW w:w="1794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70</w:t>
            </w:r>
          </w:p>
        </w:tc>
      </w:tr>
      <w:tr w:rsidR="008F7A65" w:rsidRPr="00277204" w:rsidTr="004B012E">
        <w:tc>
          <w:tcPr>
            <w:tcW w:w="1155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30.</w:t>
            </w:r>
          </w:p>
        </w:tc>
        <w:tc>
          <w:tcPr>
            <w:tcW w:w="2912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пациентов, получающих обезболивание в рамках оказания паллиативной медицинской помощи, в общем расчетном количестве пациентов, по факту нуждающихся в обезболивании при оказании паллиативной </w:t>
            </w:r>
            <w:r w:rsidR="0010398D" w:rsidRPr="00277204">
              <w:rPr>
                <w:rFonts w:ascii="Arial" w:hAnsi="Arial" w:cs="Arial"/>
              </w:rPr>
              <w:t>медицинской помощи (проценты)</w:t>
            </w:r>
          </w:p>
        </w:tc>
        <w:tc>
          <w:tcPr>
            <w:tcW w:w="1916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100</w:t>
            </w:r>
          </w:p>
        </w:tc>
        <w:tc>
          <w:tcPr>
            <w:tcW w:w="1794" w:type="dxa"/>
          </w:tcPr>
          <w:p w:rsidR="008F7A65" w:rsidRPr="00277204" w:rsidRDefault="005D4B24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100</w:t>
            </w:r>
          </w:p>
        </w:tc>
      </w:tr>
    </w:tbl>
    <w:p w:rsidR="009C7962" w:rsidRPr="00277204" w:rsidRDefault="009C7962">
      <w:pPr>
        <w:rPr>
          <w:rFonts w:ascii="Arial" w:hAnsi="Arial" w:cs="Arial"/>
        </w:rPr>
      </w:pPr>
    </w:p>
    <w:p w:rsidR="0010398D" w:rsidRDefault="0010398D" w:rsidP="0010398D">
      <w:pPr>
        <w:jc w:val="center"/>
        <w:rPr>
          <w:rFonts w:ascii="Arial" w:hAnsi="Arial" w:cs="Arial"/>
        </w:rPr>
      </w:pPr>
    </w:p>
    <w:p w:rsidR="00952299" w:rsidRPr="00277204" w:rsidRDefault="00952299" w:rsidP="0010398D">
      <w:pPr>
        <w:jc w:val="center"/>
        <w:rPr>
          <w:rFonts w:ascii="Arial" w:hAnsi="Arial" w:cs="Arial"/>
        </w:rPr>
      </w:pPr>
    </w:p>
    <w:p w:rsidR="0010398D" w:rsidRPr="00952299" w:rsidRDefault="0010398D" w:rsidP="0010398D">
      <w:pPr>
        <w:jc w:val="center"/>
        <w:rPr>
          <w:rFonts w:ascii="Arial" w:hAnsi="Arial" w:cs="Arial"/>
          <w:sz w:val="24"/>
          <w:szCs w:val="24"/>
        </w:rPr>
      </w:pPr>
      <w:r w:rsidRPr="00952299">
        <w:rPr>
          <w:rFonts w:ascii="Arial" w:hAnsi="Arial" w:cs="Arial"/>
          <w:sz w:val="24"/>
          <w:szCs w:val="24"/>
        </w:rPr>
        <w:lastRenderedPageBreak/>
        <w:t>Критерии доступности медицинской помощи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269"/>
        <w:gridCol w:w="1826"/>
        <w:gridCol w:w="1826"/>
        <w:gridCol w:w="1826"/>
      </w:tblGrid>
      <w:tr w:rsidR="0010398D" w:rsidRPr="00277204" w:rsidTr="00952299">
        <w:tc>
          <w:tcPr>
            <w:tcW w:w="709" w:type="dxa"/>
          </w:tcPr>
          <w:p w:rsidR="0010398D" w:rsidRPr="00277204" w:rsidRDefault="0010398D" w:rsidP="0010398D">
            <w:pPr>
              <w:jc w:val="center"/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№ </w:t>
            </w:r>
            <w:proofErr w:type="spellStart"/>
            <w:r w:rsidRPr="00277204">
              <w:rPr>
                <w:rFonts w:ascii="Arial" w:hAnsi="Arial" w:cs="Arial"/>
              </w:rPr>
              <w:t>п</w:t>
            </w:r>
            <w:proofErr w:type="gramStart"/>
            <w:r w:rsidRPr="00277204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4269" w:type="dxa"/>
          </w:tcPr>
          <w:p w:rsidR="0010398D" w:rsidRPr="00277204" w:rsidRDefault="0010398D" w:rsidP="0010398D">
            <w:pPr>
              <w:jc w:val="center"/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Наименование критериев доступности медицинской помощи</w:t>
            </w:r>
          </w:p>
        </w:tc>
        <w:tc>
          <w:tcPr>
            <w:tcW w:w="1826" w:type="dxa"/>
          </w:tcPr>
          <w:p w:rsidR="0010398D" w:rsidRPr="00277204" w:rsidRDefault="0010398D" w:rsidP="0010398D">
            <w:pPr>
              <w:jc w:val="center"/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2020</w:t>
            </w:r>
          </w:p>
        </w:tc>
        <w:tc>
          <w:tcPr>
            <w:tcW w:w="1826" w:type="dxa"/>
          </w:tcPr>
          <w:p w:rsidR="0010398D" w:rsidRPr="00277204" w:rsidRDefault="0010398D" w:rsidP="0010398D">
            <w:pPr>
              <w:jc w:val="center"/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2021</w:t>
            </w:r>
          </w:p>
        </w:tc>
        <w:tc>
          <w:tcPr>
            <w:tcW w:w="1826" w:type="dxa"/>
          </w:tcPr>
          <w:p w:rsidR="0010398D" w:rsidRPr="00277204" w:rsidRDefault="0010398D" w:rsidP="0010398D">
            <w:pPr>
              <w:jc w:val="center"/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2022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10398D" w:rsidP="0095229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1.</w:t>
            </w:r>
          </w:p>
        </w:tc>
        <w:tc>
          <w:tcPr>
            <w:tcW w:w="4269" w:type="dxa"/>
          </w:tcPr>
          <w:p w:rsidR="0010398D" w:rsidRPr="00277204" w:rsidRDefault="00A043D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Обеспеченность населения врачами (на 10 тыс. человек населения)</w:t>
            </w:r>
          </w:p>
        </w:tc>
        <w:tc>
          <w:tcPr>
            <w:tcW w:w="1826" w:type="dxa"/>
          </w:tcPr>
          <w:p w:rsidR="0010398D" w:rsidRPr="00277204" w:rsidRDefault="00A043DF" w:rsidP="0095229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41,5</w:t>
            </w:r>
          </w:p>
        </w:tc>
        <w:tc>
          <w:tcPr>
            <w:tcW w:w="1826" w:type="dxa"/>
          </w:tcPr>
          <w:p w:rsidR="0010398D" w:rsidRPr="00277204" w:rsidRDefault="00A043DF" w:rsidP="0095229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41,3</w:t>
            </w:r>
          </w:p>
        </w:tc>
        <w:tc>
          <w:tcPr>
            <w:tcW w:w="1826" w:type="dxa"/>
          </w:tcPr>
          <w:p w:rsidR="0010398D" w:rsidRPr="00277204" w:rsidRDefault="00A043DF" w:rsidP="00952299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41,0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4134D1" w:rsidP="004134D1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1.1</w:t>
            </w:r>
          </w:p>
        </w:tc>
        <w:tc>
          <w:tcPr>
            <w:tcW w:w="4269" w:type="dxa"/>
          </w:tcPr>
          <w:p w:rsidR="0010398D" w:rsidRPr="00277204" w:rsidRDefault="00A043D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826" w:type="dxa"/>
          </w:tcPr>
          <w:p w:rsidR="0010398D" w:rsidRPr="00277204" w:rsidRDefault="00F73AFF" w:rsidP="00A0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826" w:type="dxa"/>
          </w:tcPr>
          <w:p w:rsidR="0010398D" w:rsidRPr="00277204" w:rsidRDefault="00F73AFF" w:rsidP="00A0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  <w:tc>
          <w:tcPr>
            <w:tcW w:w="1826" w:type="dxa"/>
          </w:tcPr>
          <w:p w:rsidR="0010398D" w:rsidRPr="00277204" w:rsidRDefault="00F73AFF" w:rsidP="00A0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4134D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1.2</w:t>
            </w:r>
          </w:p>
        </w:tc>
        <w:tc>
          <w:tcPr>
            <w:tcW w:w="4269" w:type="dxa"/>
          </w:tcPr>
          <w:p w:rsidR="0010398D" w:rsidRPr="00277204" w:rsidRDefault="004134D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826" w:type="dxa"/>
          </w:tcPr>
          <w:p w:rsidR="0010398D" w:rsidRPr="00277204" w:rsidRDefault="00F73AFF" w:rsidP="00A0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  <w:tc>
          <w:tcPr>
            <w:tcW w:w="1826" w:type="dxa"/>
          </w:tcPr>
          <w:p w:rsidR="0010398D" w:rsidRPr="00277204" w:rsidRDefault="00F73AFF" w:rsidP="00A0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17,6</w:t>
            </w:r>
          </w:p>
        </w:tc>
        <w:tc>
          <w:tcPr>
            <w:tcW w:w="1826" w:type="dxa"/>
          </w:tcPr>
          <w:p w:rsidR="0010398D" w:rsidRPr="00277204" w:rsidRDefault="00F73AFF" w:rsidP="00A043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  <w:bookmarkStart w:id="0" w:name="_GoBack"/>
            <w:bookmarkEnd w:id="0"/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4269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Обеспеченность населения средним медицинским персоналом (на 10 тыс. человек населения)</w:t>
            </w:r>
          </w:p>
        </w:tc>
        <w:tc>
          <w:tcPr>
            <w:tcW w:w="1826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67,8</w:t>
            </w:r>
          </w:p>
        </w:tc>
        <w:tc>
          <w:tcPr>
            <w:tcW w:w="1826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67,4</w:t>
            </w:r>
          </w:p>
        </w:tc>
        <w:tc>
          <w:tcPr>
            <w:tcW w:w="1826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67,0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2.1</w:t>
            </w:r>
          </w:p>
        </w:tc>
        <w:tc>
          <w:tcPr>
            <w:tcW w:w="4269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Обеспеченность населения средним медицинским персоналом, оказывающим медицинскую помощь в амбулаторных условиях (на 10 тыс. человек населения)</w:t>
            </w:r>
          </w:p>
        </w:tc>
        <w:tc>
          <w:tcPr>
            <w:tcW w:w="1826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24,4</w:t>
            </w:r>
          </w:p>
        </w:tc>
        <w:tc>
          <w:tcPr>
            <w:tcW w:w="1826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24,3</w:t>
            </w:r>
          </w:p>
        </w:tc>
        <w:tc>
          <w:tcPr>
            <w:tcW w:w="1826" w:type="dxa"/>
          </w:tcPr>
          <w:p w:rsidR="0010398D" w:rsidRPr="00277204" w:rsidRDefault="007953C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22,7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303D4A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2.2</w:t>
            </w:r>
          </w:p>
        </w:tc>
        <w:tc>
          <w:tcPr>
            <w:tcW w:w="4269" w:type="dxa"/>
          </w:tcPr>
          <w:p w:rsidR="0010398D" w:rsidRPr="00277204" w:rsidRDefault="00303D4A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Обеспеченность населения средним медицинским персоналом, оказывающим медицинскую помощь в стационарных условиях (на 10 тыс. человек населения)</w:t>
            </w:r>
          </w:p>
        </w:tc>
        <w:tc>
          <w:tcPr>
            <w:tcW w:w="1826" w:type="dxa"/>
          </w:tcPr>
          <w:p w:rsidR="0010398D" w:rsidRPr="00277204" w:rsidRDefault="00303D4A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36,0</w:t>
            </w:r>
          </w:p>
        </w:tc>
        <w:tc>
          <w:tcPr>
            <w:tcW w:w="1826" w:type="dxa"/>
          </w:tcPr>
          <w:p w:rsidR="0010398D" w:rsidRPr="00277204" w:rsidRDefault="00303D4A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35,8</w:t>
            </w:r>
          </w:p>
        </w:tc>
        <w:tc>
          <w:tcPr>
            <w:tcW w:w="1826" w:type="dxa"/>
          </w:tcPr>
          <w:p w:rsidR="0010398D" w:rsidRPr="00277204" w:rsidRDefault="00303D4A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35,6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3.</w:t>
            </w:r>
          </w:p>
        </w:tc>
        <w:tc>
          <w:tcPr>
            <w:tcW w:w="4269" w:type="dxa"/>
          </w:tcPr>
          <w:p w:rsidR="0010398D" w:rsidRPr="00277204" w:rsidRDefault="00BE7094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826" w:type="dxa"/>
          </w:tcPr>
          <w:p w:rsidR="0010398D" w:rsidRPr="00277204" w:rsidRDefault="00BE7094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5,1</w:t>
            </w:r>
          </w:p>
        </w:tc>
        <w:tc>
          <w:tcPr>
            <w:tcW w:w="1826" w:type="dxa"/>
          </w:tcPr>
          <w:p w:rsidR="0010398D" w:rsidRPr="00277204" w:rsidRDefault="00BE7094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5,5</w:t>
            </w:r>
          </w:p>
        </w:tc>
        <w:tc>
          <w:tcPr>
            <w:tcW w:w="1826" w:type="dxa"/>
          </w:tcPr>
          <w:p w:rsidR="0010398D" w:rsidRPr="00277204" w:rsidRDefault="00BE7094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5,8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4.</w:t>
            </w:r>
          </w:p>
        </w:tc>
        <w:tc>
          <w:tcPr>
            <w:tcW w:w="426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расходов </w:t>
            </w:r>
            <w:proofErr w:type="gramStart"/>
            <w:r w:rsidRPr="00277204">
              <w:rPr>
                <w:rFonts w:ascii="Arial" w:hAnsi="Arial" w:cs="Arial"/>
              </w:rPr>
              <w:t>на оказание медицинской помощи в амбулаторных условиях в неотложной форме в общих расходах на реализацию</w:t>
            </w:r>
            <w:proofErr w:type="gramEnd"/>
            <w:r w:rsidRPr="00277204">
              <w:rPr>
                <w:rFonts w:ascii="Arial" w:hAnsi="Arial" w:cs="Arial"/>
              </w:rPr>
              <w:t xml:space="preserve"> Территориальной программы (проценты)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1,5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1,5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1,5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5.</w:t>
            </w:r>
          </w:p>
        </w:tc>
        <w:tc>
          <w:tcPr>
            <w:tcW w:w="426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охвата диспансеризацией взрослого населения, подлежащего диспансеризации (проценты)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98,5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98,6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98,7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6.</w:t>
            </w:r>
          </w:p>
        </w:tc>
        <w:tc>
          <w:tcPr>
            <w:tcW w:w="4269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(проценты)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94,4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94,5</w:t>
            </w:r>
          </w:p>
        </w:tc>
        <w:tc>
          <w:tcPr>
            <w:tcW w:w="1826" w:type="dxa"/>
          </w:tcPr>
          <w:p w:rsidR="0010398D" w:rsidRPr="00277204" w:rsidRDefault="008D1C12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94,6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7.</w:t>
            </w:r>
          </w:p>
        </w:tc>
        <w:tc>
          <w:tcPr>
            <w:tcW w:w="4269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охвата профилактическими медицинскими осмотрами детей, подлежащих профилактическим медицинским осмотрам (проценты)</w:t>
            </w:r>
          </w:p>
        </w:tc>
        <w:tc>
          <w:tcPr>
            <w:tcW w:w="1826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99,0</w:t>
            </w:r>
          </w:p>
        </w:tc>
        <w:tc>
          <w:tcPr>
            <w:tcW w:w="1826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99,1</w:t>
            </w:r>
          </w:p>
        </w:tc>
        <w:tc>
          <w:tcPr>
            <w:tcW w:w="1826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99,2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8.</w:t>
            </w:r>
          </w:p>
        </w:tc>
        <w:tc>
          <w:tcPr>
            <w:tcW w:w="4269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</w:t>
            </w:r>
            <w:r w:rsidRPr="00277204">
              <w:rPr>
                <w:rFonts w:ascii="Arial" w:hAnsi="Arial" w:cs="Arial"/>
              </w:rPr>
              <w:lastRenderedPageBreak/>
              <w:t>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826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6,1</w:t>
            </w:r>
          </w:p>
        </w:tc>
        <w:tc>
          <w:tcPr>
            <w:tcW w:w="1826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6,1</w:t>
            </w:r>
          </w:p>
        </w:tc>
        <w:tc>
          <w:tcPr>
            <w:tcW w:w="1826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6,1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66224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269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(проценты)</w:t>
            </w:r>
          </w:p>
        </w:tc>
        <w:tc>
          <w:tcPr>
            <w:tcW w:w="1826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100</w:t>
            </w:r>
          </w:p>
        </w:tc>
        <w:tc>
          <w:tcPr>
            <w:tcW w:w="1826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100</w:t>
            </w:r>
          </w:p>
        </w:tc>
        <w:tc>
          <w:tcPr>
            <w:tcW w:w="1826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100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10.</w:t>
            </w:r>
          </w:p>
        </w:tc>
        <w:tc>
          <w:tcPr>
            <w:tcW w:w="4269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женщин, которым проведено экстракорпоральное оплодотворение, в общем количестве женщин с бесплодием (проценты)</w:t>
            </w:r>
          </w:p>
        </w:tc>
        <w:tc>
          <w:tcPr>
            <w:tcW w:w="1826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75,5</w:t>
            </w:r>
          </w:p>
        </w:tc>
        <w:tc>
          <w:tcPr>
            <w:tcW w:w="1826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75,8</w:t>
            </w:r>
          </w:p>
        </w:tc>
        <w:tc>
          <w:tcPr>
            <w:tcW w:w="1826" w:type="dxa"/>
          </w:tcPr>
          <w:p w:rsidR="0010398D" w:rsidRPr="00277204" w:rsidRDefault="002E5951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75,9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906D0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11.</w:t>
            </w:r>
          </w:p>
        </w:tc>
        <w:tc>
          <w:tcPr>
            <w:tcW w:w="4269" w:type="dxa"/>
          </w:tcPr>
          <w:p w:rsidR="0010398D" w:rsidRPr="00277204" w:rsidRDefault="005F495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 (проценты)</w:t>
            </w:r>
          </w:p>
        </w:tc>
        <w:tc>
          <w:tcPr>
            <w:tcW w:w="1826" w:type="dxa"/>
          </w:tcPr>
          <w:p w:rsidR="0010398D" w:rsidRPr="00277204" w:rsidRDefault="005F495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55,0</w:t>
            </w:r>
          </w:p>
        </w:tc>
        <w:tc>
          <w:tcPr>
            <w:tcW w:w="1826" w:type="dxa"/>
          </w:tcPr>
          <w:p w:rsidR="0010398D" w:rsidRPr="00277204" w:rsidRDefault="005F495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58,0</w:t>
            </w:r>
          </w:p>
        </w:tc>
        <w:tc>
          <w:tcPr>
            <w:tcW w:w="1826" w:type="dxa"/>
          </w:tcPr>
          <w:p w:rsidR="0010398D" w:rsidRPr="00277204" w:rsidRDefault="005F495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60,0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5F495B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12.</w:t>
            </w:r>
          </w:p>
        </w:tc>
        <w:tc>
          <w:tcPr>
            <w:tcW w:w="4269" w:type="dxa"/>
          </w:tcPr>
          <w:p w:rsidR="0010398D" w:rsidRPr="00277204" w:rsidRDefault="00D563A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826" w:type="dxa"/>
          </w:tcPr>
          <w:p w:rsidR="0010398D" w:rsidRPr="00277204" w:rsidRDefault="00D563A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35 000</w:t>
            </w:r>
          </w:p>
        </w:tc>
        <w:tc>
          <w:tcPr>
            <w:tcW w:w="1826" w:type="dxa"/>
          </w:tcPr>
          <w:p w:rsidR="0010398D" w:rsidRPr="00277204" w:rsidRDefault="00D563A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36 960</w:t>
            </w:r>
          </w:p>
        </w:tc>
        <w:tc>
          <w:tcPr>
            <w:tcW w:w="1826" w:type="dxa"/>
          </w:tcPr>
          <w:p w:rsidR="0010398D" w:rsidRPr="00277204" w:rsidRDefault="00D563A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38 000</w:t>
            </w:r>
          </w:p>
        </w:tc>
      </w:tr>
      <w:tr w:rsidR="0010398D" w:rsidRPr="00277204" w:rsidTr="00952299">
        <w:tc>
          <w:tcPr>
            <w:tcW w:w="709" w:type="dxa"/>
          </w:tcPr>
          <w:p w:rsidR="0010398D" w:rsidRPr="00277204" w:rsidRDefault="00D563AF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13.</w:t>
            </w:r>
          </w:p>
        </w:tc>
        <w:tc>
          <w:tcPr>
            <w:tcW w:w="4269" w:type="dxa"/>
          </w:tcPr>
          <w:p w:rsidR="0010398D" w:rsidRPr="00277204" w:rsidRDefault="00413693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826" w:type="dxa"/>
          </w:tcPr>
          <w:p w:rsidR="0010398D" w:rsidRPr="00277204" w:rsidRDefault="00413693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200</w:t>
            </w:r>
          </w:p>
        </w:tc>
        <w:tc>
          <w:tcPr>
            <w:tcW w:w="1826" w:type="dxa"/>
          </w:tcPr>
          <w:p w:rsidR="0010398D" w:rsidRPr="00277204" w:rsidRDefault="00413693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200</w:t>
            </w:r>
          </w:p>
        </w:tc>
        <w:tc>
          <w:tcPr>
            <w:tcW w:w="1826" w:type="dxa"/>
          </w:tcPr>
          <w:p w:rsidR="0010398D" w:rsidRPr="00277204" w:rsidRDefault="00413693" w:rsidP="00A043DF">
            <w:pPr>
              <w:rPr>
                <w:rFonts w:ascii="Arial" w:hAnsi="Arial" w:cs="Arial"/>
              </w:rPr>
            </w:pPr>
            <w:r w:rsidRPr="00277204">
              <w:rPr>
                <w:rFonts w:ascii="Arial" w:hAnsi="Arial" w:cs="Arial"/>
              </w:rPr>
              <w:t>200</w:t>
            </w:r>
          </w:p>
        </w:tc>
      </w:tr>
    </w:tbl>
    <w:p w:rsidR="0010398D" w:rsidRDefault="0010398D" w:rsidP="00A043DF">
      <w:pPr>
        <w:pBdr>
          <w:bottom w:val="single" w:sz="12" w:space="1" w:color="auto"/>
        </w:pBdr>
        <w:rPr>
          <w:rFonts w:ascii="Arial" w:hAnsi="Arial" w:cs="Arial"/>
        </w:rPr>
      </w:pPr>
    </w:p>
    <w:p w:rsidR="00277204" w:rsidRDefault="00277204" w:rsidP="00A043DF">
      <w:pPr>
        <w:pBdr>
          <w:bottom w:val="single" w:sz="12" w:space="1" w:color="auto"/>
        </w:pBdr>
        <w:rPr>
          <w:rFonts w:ascii="Arial" w:hAnsi="Arial" w:cs="Arial"/>
        </w:rPr>
      </w:pP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>1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96 процентах случаев.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 xml:space="preserve"> 2</w:t>
      </w:r>
      <w:proofErr w:type="gramStart"/>
      <w:r w:rsidRPr="00277204">
        <w:rPr>
          <w:rFonts w:ascii="Arial" w:hAnsi="Arial" w:cs="Arial"/>
        </w:rPr>
        <w:t xml:space="preserve"> П</w:t>
      </w:r>
      <w:proofErr w:type="gramEnd"/>
      <w:r w:rsidRPr="00277204">
        <w:rPr>
          <w:rFonts w:ascii="Arial" w:hAnsi="Arial" w:cs="Arial"/>
        </w:rPr>
        <w:t xml:space="preserve">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организации, летальном исходе, а также при проведении диагностических исследований. 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 xml:space="preserve"> 3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указанный норматив объема медицинской помощи включен объем оказания скорой специализированной медицинской помощи жителям города Москвы, в том числе скорой специализированной психиатрической помощи, специализированной санитарно-авиационной эвакуации, транспортировки и сопровождения по медицинским показаниям больных,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услуг, а также транспортировка и сопровождение по медицинским показаниям граждан, страдающих стоматологическими заболеваниями и нуждающихся в сопровождении по медицинским </w:t>
      </w:r>
      <w:r w:rsidRPr="00277204">
        <w:rPr>
          <w:rFonts w:ascii="Arial" w:hAnsi="Arial" w:cs="Arial"/>
        </w:rPr>
        <w:lastRenderedPageBreak/>
        <w:t>показаниям от места фактического проживания до места получения стоматологической помощи и обратно после проведения указанных медицинских услуг.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 xml:space="preserve"> 4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норматив финансовых затрат на единицу объема медицинской помощи включены расходы бюджета города Москвы на незастрахованных по обязательному 51 медицинскому страхованию. </w:t>
      </w:r>
      <w:proofErr w:type="gramStart"/>
      <w:r w:rsidRPr="00277204">
        <w:rPr>
          <w:rFonts w:ascii="Arial" w:hAnsi="Arial" w:cs="Arial"/>
        </w:rPr>
        <w:t>Без учета указанных расходов норматив финансовых затрат на один вызов скорой медицинской помощи за счет средств бюджета города Москвы составляет 3 615,96 рубля на 2020 год, 3615,96 рубля на 2021 год, 3 615,96 рубля на 2022 год, норматив финансовых затрат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</w:t>
      </w:r>
      <w:proofErr w:type="gramEnd"/>
      <w:r w:rsidRPr="00277204">
        <w:rPr>
          <w:rFonts w:ascii="Arial" w:hAnsi="Arial" w:cs="Arial"/>
        </w:rPr>
        <w:t xml:space="preserve"> города Москвы - 198 028,35 рубля на 2020 год, 206 993,53 рубля на 2021 год, 216 498,94 рубля на 2022 год. 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 xml:space="preserve">5 Значения критериев смертности населения рассчитываются с учетом общего числа умерших на территории города Москвы, в том числе жителей иных субъектов Российской Федерации, иностранных граждан и лиц без гражданства, умерших во всех медицинских организациях (в том числе в федеральных медицинских организациях и медицинских организациях частной системы здравоохранения). 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>6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остальных случаях к выполнению медицинского вмешательства имеются медицинские противопоказания в связи с наличием сопутствующих заболеваний, отказ пациента от медицинского вмешательства или применяются иные методы лечения. 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>7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3-5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вмешательства.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 xml:space="preserve"> 8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помощи.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1 458,91 рубля на 2020 год, 1 528,19 рубля на 2021 год, 1 600,83 рубля на 2022 год.</w:t>
      </w:r>
    </w:p>
    <w:p w:rsidR="00F87183" w:rsidRPr="00277204" w:rsidRDefault="00F87183" w:rsidP="00A043DF">
      <w:pPr>
        <w:rPr>
          <w:rFonts w:ascii="Arial" w:hAnsi="Arial" w:cs="Arial"/>
        </w:rPr>
      </w:pPr>
      <w:r w:rsidRPr="00277204">
        <w:rPr>
          <w:rFonts w:ascii="Arial" w:hAnsi="Arial" w:cs="Arial"/>
        </w:rPr>
        <w:t xml:space="preserve"> 9</w:t>
      </w:r>
      <w:proofErr w:type="gramStart"/>
      <w:r w:rsidRPr="00277204">
        <w:rPr>
          <w:rFonts w:ascii="Arial" w:hAnsi="Arial" w:cs="Arial"/>
        </w:rPr>
        <w:t xml:space="preserve"> В</w:t>
      </w:r>
      <w:proofErr w:type="gramEnd"/>
      <w:r w:rsidRPr="00277204">
        <w:rPr>
          <w:rFonts w:ascii="Arial" w:hAnsi="Arial" w:cs="Arial"/>
        </w:rPr>
        <w:t xml:space="preserve"> остальных случаях диагноз злокачественного новообразования устанавливается посмертно.</w:t>
      </w:r>
    </w:p>
    <w:sectPr w:rsidR="00F87183" w:rsidRPr="00277204" w:rsidSect="00FA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390"/>
    <w:rsid w:val="000B6F38"/>
    <w:rsid w:val="000D7477"/>
    <w:rsid w:val="0010398D"/>
    <w:rsid w:val="00277204"/>
    <w:rsid w:val="002E5951"/>
    <w:rsid w:val="00303D4A"/>
    <w:rsid w:val="00315A8F"/>
    <w:rsid w:val="00377D4F"/>
    <w:rsid w:val="0039615A"/>
    <w:rsid w:val="004134D1"/>
    <w:rsid w:val="00413693"/>
    <w:rsid w:val="00442B0E"/>
    <w:rsid w:val="004B012E"/>
    <w:rsid w:val="00522746"/>
    <w:rsid w:val="00550717"/>
    <w:rsid w:val="00585390"/>
    <w:rsid w:val="005B1324"/>
    <w:rsid w:val="005D4B24"/>
    <w:rsid w:val="005F495B"/>
    <w:rsid w:val="0066224B"/>
    <w:rsid w:val="007953CF"/>
    <w:rsid w:val="008D1C12"/>
    <w:rsid w:val="008F3859"/>
    <w:rsid w:val="008F7A65"/>
    <w:rsid w:val="00906D0F"/>
    <w:rsid w:val="00913E72"/>
    <w:rsid w:val="00933441"/>
    <w:rsid w:val="00952299"/>
    <w:rsid w:val="009C7962"/>
    <w:rsid w:val="00A043DF"/>
    <w:rsid w:val="00A511DE"/>
    <w:rsid w:val="00A70E45"/>
    <w:rsid w:val="00AD66DC"/>
    <w:rsid w:val="00B35C35"/>
    <w:rsid w:val="00B97238"/>
    <w:rsid w:val="00BE7094"/>
    <w:rsid w:val="00CF10AE"/>
    <w:rsid w:val="00D563AF"/>
    <w:rsid w:val="00DC5EDA"/>
    <w:rsid w:val="00F0614B"/>
    <w:rsid w:val="00F118D3"/>
    <w:rsid w:val="00F37295"/>
    <w:rsid w:val="00F3786C"/>
    <w:rsid w:val="00F53326"/>
    <w:rsid w:val="00F540A4"/>
    <w:rsid w:val="00F73AFF"/>
    <w:rsid w:val="00F87183"/>
    <w:rsid w:val="00FA7886"/>
    <w:rsid w:val="00FB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2020-07-07T11:38:00Z</dcterms:created>
  <dcterms:modified xsi:type="dcterms:W3CDTF">2020-07-07T11:38:00Z</dcterms:modified>
</cp:coreProperties>
</file>